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渝矿采出字〔2020〕（石柱）1号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2020年09月14日09时</w:t>
      </w:r>
      <w:r>
        <w:rPr>
          <w:rFonts w:asciiTheme="minorEastAsia" w:hAnsiTheme="minorEastAsia"/>
          <w:sz w:val="24"/>
        </w:rPr>
        <w:t>-</w:t>
      </w:r>
      <w:r>
        <w:rPr>
          <w:rFonts w:hint="eastAsia" w:asciiTheme="minorEastAsia" w:hAnsiTheme="minorEastAsia"/>
          <w:sz w:val="24"/>
        </w:rPr>
        <w:t>2020年10月15日18时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石柱土家族自治县公共资源交易中心</w:t>
      </w:r>
      <w:r>
        <w:rPr>
          <w:rFonts w:asciiTheme="minorEastAsia" w:hAnsiTheme="minorEastAsia"/>
          <w:sz w:val="24"/>
        </w:rPr>
        <w:t>索取相关资料并进行报名。地址：</w:t>
      </w:r>
      <w:r>
        <w:rPr>
          <w:rFonts w:hint="eastAsia" w:asciiTheme="minorEastAsia" w:hAnsiTheme="minorEastAsia"/>
          <w:sz w:val="24"/>
        </w:rPr>
        <w:t>石柱县新城区写字楼5楼511室</w:t>
      </w:r>
      <w:r>
        <w:rPr>
          <w:rFonts w:asciiTheme="minorEastAsia" w:hAnsiTheme="minorEastAsia"/>
          <w:sz w:val="24"/>
        </w:rPr>
        <w:t>，联系电话：</w:t>
      </w:r>
      <w:r>
        <w:rPr>
          <w:rFonts w:hint="eastAsia" w:asciiTheme="minorEastAsia" w:hAnsiTheme="minorEastAsia"/>
          <w:sz w:val="24"/>
        </w:rPr>
        <w:t>023-73377087</w:t>
      </w:r>
      <w:r>
        <w:rPr>
          <w:rFonts w:asciiTheme="minorEastAsia" w:hAnsiTheme="minorEastAsia"/>
          <w:sz w:val="24"/>
        </w:rPr>
        <w:t>，联系人：</w:t>
      </w:r>
      <w:r>
        <w:rPr>
          <w:rFonts w:hint="eastAsia" w:asciiTheme="minorEastAsia" w:hAnsiTheme="minorEastAsia"/>
          <w:sz w:val="24"/>
        </w:rPr>
        <w:t>左老师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同步发布的网站：重庆市规划和自然资源局网站：http://ghzrzyj.cq.gov.cn、石柱土家族自治县公共资源交易中心</w:t>
      </w:r>
      <w:r>
        <w:rPr>
          <w:rFonts w:asciiTheme="minorEastAsia" w:hAnsiTheme="minorEastAsia"/>
          <w:sz w:val="24"/>
        </w:rPr>
        <w:t>网站：</w:t>
      </w:r>
      <w:r>
        <w:rPr>
          <w:rFonts w:hint="eastAsia" w:asciiTheme="minorEastAsia" w:hAnsiTheme="minorEastAsia"/>
          <w:sz w:val="24"/>
        </w:rPr>
        <w:t xml:space="preserve">http://ggzyjy.cqszx.gov.cn/ </w:t>
      </w:r>
      <w:r>
        <w:rPr>
          <w:rFonts w:ascii="Times New Roman" w:hAnsi="Times New Roman"/>
          <w:sz w:val="24"/>
        </w:rPr>
        <w:t>。</w:t>
      </w:r>
    </w:p>
    <w:tbl>
      <w:tblPr>
        <w:tblStyle w:val="5"/>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 xml:space="preserve">SZGC202001 </w:t>
            </w:r>
          </w:p>
        </w:tc>
        <w:tc>
          <w:tcPr>
            <w:tcW w:w="1510" w:type="dxa"/>
            <w:vAlign w:val="center"/>
          </w:tcPr>
          <w:p>
            <w:pPr>
              <w:jc w:val="center"/>
              <w:rPr>
                <w:rFonts w:ascii="Times New Roman" w:hAnsi="Times New Roman"/>
                <w:szCs w:val="21"/>
              </w:rPr>
            </w:pPr>
            <w:r>
              <w:rPr>
                <w:rFonts w:hint="eastAsia" w:ascii="Times New Roman" w:hAnsi="Times New Roman"/>
                <w:szCs w:val="21"/>
              </w:rPr>
              <w:t>石柱县万朝镇茶园村甘溪沟建筑石料用灰岩矿山</w:t>
            </w:r>
          </w:p>
        </w:tc>
        <w:tc>
          <w:tcPr>
            <w:tcW w:w="1103" w:type="dxa"/>
            <w:vAlign w:val="center"/>
          </w:tcPr>
          <w:p>
            <w:pPr>
              <w:jc w:val="center"/>
              <w:rPr>
                <w:rFonts w:ascii="Times New Roman" w:hAnsi="Times New Roman"/>
                <w:szCs w:val="21"/>
              </w:rPr>
            </w:pPr>
            <w:r>
              <w:rPr>
                <w:rFonts w:hint="eastAsia" w:ascii="Times New Roman" w:hAnsi="Times New Roman"/>
                <w:szCs w:val="21"/>
              </w:rPr>
              <w:t>石柱县万朝镇万康村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4395.4万吨</w:t>
            </w:r>
          </w:p>
        </w:tc>
        <w:tc>
          <w:tcPr>
            <w:tcW w:w="1343" w:type="dxa"/>
            <w:vAlign w:val="center"/>
          </w:tcPr>
          <w:p>
            <w:pPr>
              <w:jc w:val="center"/>
              <w:rPr>
                <w:rFonts w:ascii="Times New Roman" w:hAnsi="Times New Roman"/>
                <w:szCs w:val="21"/>
              </w:rPr>
            </w:pPr>
            <w:r>
              <w:rPr>
                <w:rFonts w:hint="eastAsia" w:ascii="Times New Roman" w:hAnsi="Times New Roman"/>
                <w:szCs w:val="21"/>
              </w:rPr>
              <w:t>0.2857</w:t>
            </w:r>
          </w:p>
        </w:tc>
        <w:tc>
          <w:tcPr>
            <w:tcW w:w="1140" w:type="dxa"/>
            <w:vAlign w:val="center"/>
          </w:tcPr>
          <w:p>
            <w:pPr>
              <w:jc w:val="center"/>
              <w:rPr>
                <w:rFonts w:ascii="Times New Roman" w:hAnsi="Times New Roman"/>
              </w:rPr>
            </w:pPr>
            <w:r>
              <w:rPr>
                <w:rFonts w:hint="eastAsia" w:ascii="Times New Roman" w:hAnsi="Times New Roman"/>
              </w:rPr>
              <w:t>820米至620米</w:t>
            </w:r>
          </w:p>
        </w:tc>
        <w:tc>
          <w:tcPr>
            <w:tcW w:w="1486" w:type="dxa"/>
            <w:vAlign w:val="center"/>
          </w:tcPr>
          <w:p>
            <w:pPr>
              <w:jc w:val="center"/>
              <w:rPr>
                <w:rFonts w:hint="default" w:ascii="Times New Roman" w:hAnsi="Times New Roman" w:eastAsiaTheme="minorEastAsia"/>
                <w:szCs w:val="21"/>
                <w:lang w:val="en-US" w:eastAsia="zh-CN"/>
              </w:rPr>
            </w:pPr>
            <w:r>
              <w:rPr>
                <w:rFonts w:hint="eastAsia" w:ascii="Times New Roman" w:hAnsi="Times New Roman"/>
                <w:szCs w:val="21"/>
              </w:rPr>
              <w:t>120万吨</w:t>
            </w:r>
            <w:r>
              <w:rPr>
                <w:rFonts w:hint="eastAsia" w:ascii="Times New Roman" w:hAnsi="Times New Roman"/>
                <w:szCs w:val="21"/>
                <w:lang w:val="en-US" w:eastAsia="zh-CN"/>
              </w:rPr>
              <w:t>/年</w:t>
            </w:r>
          </w:p>
        </w:tc>
        <w:tc>
          <w:tcPr>
            <w:tcW w:w="851" w:type="dxa"/>
            <w:vAlign w:val="center"/>
          </w:tcPr>
          <w:p>
            <w:pPr>
              <w:jc w:val="center"/>
              <w:rPr>
                <w:rFonts w:ascii="Times New Roman" w:hAnsi="Times New Roman"/>
                <w:szCs w:val="21"/>
              </w:rPr>
            </w:pPr>
            <w:r>
              <w:rPr>
                <w:rFonts w:hint="eastAsia" w:ascii="Times New Roman" w:hAnsi="Times New Roman"/>
                <w:szCs w:val="21"/>
              </w:rPr>
              <w:t>29.95</w:t>
            </w:r>
          </w:p>
        </w:tc>
        <w:tc>
          <w:tcPr>
            <w:tcW w:w="1134" w:type="dxa"/>
            <w:vAlign w:val="center"/>
          </w:tcPr>
          <w:p>
            <w:pPr>
              <w:jc w:val="center"/>
              <w:rPr>
                <w:rFonts w:ascii="Times New Roman" w:hAnsi="Times New Roman"/>
                <w:szCs w:val="21"/>
              </w:rPr>
            </w:pPr>
            <w:r>
              <w:rPr>
                <w:rFonts w:hint="eastAsia" w:ascii="Times New Roman" w:hAnsi="Times New Roman"/>
                <w:szCs w:val="21"/>
              </w:rPr>
              <w:t>9061</w:t>
            </w:r>
          </w:p>
        </w:tc>
        <w:tc>
          <w:tcPr>
            <w:tcW w:w="916" w:type="dxa"/>
            <w:vAlign w:val="center"/>
          </w:tcPr>
          <w:p>
            <w:pPr>
              <w:jc w:val="center"/>
              <w:rPr>
                <w:rFonts w:ascii="Times New Roman" w:hAnsi="Times New Roman"/>
                <w:szCs w:val="21"/>
              </w:rPr>
            </w:pPr>
            <w:r>
              <w:rPr>
                <w:rFonts w:hint="eastAsia" w:ascii="Times New Roman" w:hAnsi="Times New Roman"/>
                <w:szCs w:val="21"/>
              </w:rPr>
              <w:t>2718</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 xml:space="preserve">SZGC202001 </w:t>
      </w:r>
      <w:r>
        <w:rPr>
          <w:rFonts w:asciiTheme="minorEastAsia" w:hAnsiTheme="minorEastAsia"/>
          <w:sz w:val="24"/>
          <w:szCs w:val="24"/>
        </w:rPr>
        <w:t xml:space="preserve"> 采矿权出让人：</w:t>
      </w:r>
      <w:r>
        <w:rPr>
          <w:rFonts w:hint="eastAsia" w:asciiTheme="minorEastAsia" w:hAnsiTheme="minorEastAsia"/>
          <w:sz w:val="24"/>
          <w:szCs w:val="24"/>
        </w:rPr>
        <w:t>石柱土家族自治县规划和自然资源局</w:t>
      </w:r>
      <w:r>
        <w:rPr>
          <w:rFonts w:asciiTheme="minorEastAsia" w:hAnsiTheme="minorEastAsia"/>
          <w:sz w:val="24"/>
          <w:szCs w:val="24"/>
        </w:rPr>
        <w:t>，地址：</w:t>
      </w:r>
      <w:r>
        <w:rPr>
          <w:rFonts w:hint="eastAsia" w:cs="宋体" w:asciiTheme="minorEastAsia" w:hAnsiTheme="minorEastAsia"/>
          <w:sz w:val="24"/>
          <w:szCs w:val="24"/>
        </w:rPr>
        <w:t>石柱县万安街道万寿大道100号</w:t>
      </w:r>
      <w:r>
        <w:rPr>
          <w:rFonts w:asciiTheme="minorEastAsia" w:hAnsiTheme="minorEastAsia"/>
          <w:sz w:val="24"/>
          <w:szCs w:val="24"/>
        </w:rPr>
        <w:t>，联系人：</w:t>
      </w:r>
      <w:r>
        <w:rPr>
          <w:rFonts w:hint="eastAsia" w:cs="宋体" w:asciiTheme="minorEastAsia" w:hAnsiTheme="minorEastAsia"/>
          <w:sz w:val="24"/>
          <w:szCs w:val="24"/>
        </w:rPr>
        <w:t>刘老师</w:t>
      </w:r>
      <w:r>
        <w:rPr>
          <w:rFonts w:asciiTheme="minorEastAsia" w:hAnsiTheme="minorEastAsia"/>
          <w:sz w:val="24"/>
          <w:szCs w:val="24"/>
        </w:rPr>
        <w:t>，联系电话：</w:t>
      </w:r>
      <w:r>
        <w:rPr>
          <w:rFonts w:hint="eastAsia" w:asciiTheme="minorEastAsia" w:hAnsiTheme="minorEastAsia"/>
          <w:sz w:val="24"/>
          <w:szCs w:val="24"/>
        </w:rPr>
        <w:t>023-73378499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石柱土家族自治县公共资源综合交易中心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重庆银行石柱支行</w:t>
      </w:r>
      <w:r>
        <w:rPr>
          <w:rFonts w:asciiTheme="minorEastAsia" w:hAnsiTheme="minorEastAsia"/>
          <w:sz w:val="24"/>
          <w:szCs w:val="24"/>
        </w:rPr>
        <w:t xml:space="preserve"> 帐号：</w:t>
      </w:r>
      <w:r>
        <w:rPr>
          <w:rFonts w:hint="eastAsia" w:asciiTheme="minorEastAsia" w:hAnsiTheme="minorEastAsia"/>
          <w:sz w:val="24"/>
          <w:szCs w:val="24"/>
        </w:rPr>
        <w:t>760101040005460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石柱土家族自治县公共资源综合交易中心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中国农业银行石柱万寿支行</w:t>
      </w:r>
      <w:r>
        <w:rPr>
          <w:rFonts w:asciiTheme="minorEastAsia" w:hAnsiTheme="minorEastAsia"/>
          <w:sz w:val="24"/>
          <w:szCs w:val="24"/>
        </w:rPr>
        <w:t xml:space="preserve"> 帐号：</w:t>
      </w:r>
      <w:r>
        <w:rPr>
          <w:rFonts w:hint="eastAsia" w:asciiTheme="minorEastAsia" w:hAnsiTheme="minorEastAsia"/>
          <w:sz w:val="24"/>
          <w:szCs w:val="24"/>
        </w:rPr>
        <w:t>31820201040002166</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石柱土家族自治县公共资源综合交易中心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中国工商银行石柱支行</w:t>
      </w:r>
      <w:r>
        <w:rPr>
          <w:rFonts w:asciiTheme="minorEastAsia" w:hAnsiTheme="minorEastAsia"/>
          <w:sz w:val="24"/>
          <w:szCs w:val="24"/>
        </w:rPr>
        <w:t xml:space="preserve"> 帐号：</w:t>
      </w:r>
      <w:r>
        <w:rPr>
          <w:rFonts w:hint="eastAsia" w:asciiTheme="minorEastAsia" w:hAnsiTheme="minorEastAsia"/>
          <w:sz w:val="24"/>
          <w:szCs w:val="24"/>
        </w:rPr>
        <w:t>3100019329200103180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石柱土家族自治县公共资源综合交易中心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中国建设银行股份有限公司石柱良玉广场支行</w:t>
      </w:r>
      <w:r>
        <w:rPr>
          <w:rFonts w:asciiTheme="minorEastAsia" w:hAnsiTheme="minorEastAsia"/>
          <w:sz w:val="24"/>
          <w:szCs w:val="24"/>
        </w:rPr>
        <w:t xml:space="preserve"> 帐号：</w:t>
      </w:r>
      <w:r>
        <w:rPr>
          <w:rFonts w:hint="eastAsia" w:asciiTheme="minorEastAsia" w:hAnsiTheme="minorEastAsia"/>
          <w:sz w:val="24"/>
          <w:szCs w:val="24"/>
        </w:rPr>
        <w:t>50050120620009345678</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石柱土家族自治县公共资源综合交易中心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重庆农村商业银行石柱支行</w:t>
      </w:r>
      <w:r>
        <w:rPr>
          <w:rFonts w:asciiTheme="minorEastAsia" w:hAnsiTheme="minorEastAsia"/>
          <w:sz w:val="24"/>
          <w:szCs w:val="24"/>
        </w:rPr>
        <w:t xml:space="preserve"> 帐号：</w:t>
      </w:r>
      <w:r>
        <w:rPr>
          <w:rFonts w:hint="eastAsia" w:asciiTheme="minorEastAsia" w:hAnsiTheme="minorEastAsia"/>
          <w:sz w:val="24"/>
          <w:szCs w:val="24"/>
        </w:rPr>
        <w:t>4501010120010018239000000</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2020年10月16日09时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石柱土家族自治县公共资源综合交易中心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六</w:t>
      </w:r>
      <w:r>
        <w:rPr>
          <w:rFonts w:ascii="Times New Roman" w:hAnsi="Times New Roman"/>
          <w:kern w:val="0"/>
          <w:sz w:val="24"/>
        </w:rPr>
        <w:t>、提出异议的方式与途径：</w:t>
      </w:r>
    </w:p>
    <w:p>
      <w:pPr>
        <w:spacing w:line="360" w:lineRule="exact"/>
        <w:ind w:firstLine="480" w:firstLineChars="20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hint="eastAsia" w:asciiTheme="minorEastAsia" w:hAnsiTheme="minorEastAsia"/>
          <w:sz w:val="24"/>
        </w:rPr>
        <w:t>石柱土家族自治县规划和自然资源局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hint="eastAsia" w:ascii="Times New Roman" w:hAnsi="Times New Roman"/>
          <w:sz w:val="24"/>
        </w:rPr>
        <w:t>石柱土家族自治县公共资源交易中心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kern w:val="0"/>
          <w:sz w:val="24"/>
        </w:rPr>
        <w:t>七</w:t>
      </w:r>
      <w:r>
        <w:rPr>
          <w:rFonts w:ascii="Times New Roman" w:hAnsi="Times New Roman"/>
          <w:b/>
          <w:kern w:val="0"/>
          <w:sz w:val="24"/>
        </w:rPr>
        <w:t>、其他重要提示及要求：</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kern w:val="0"/>
          <w:sz w:val="24"/>
        </w:rPr>
        <w:t xml:space="preserve">（一）矿区范围及周边可能存在不可预期风险，竞买申请人报名前须自行前往现场踏勘了解，未进行现场踏勘的，提交申请即视为竞买人对采矿权现状和出让文件已完全认可并自愿承担所有风险； </w:t>
      </w:r>
      <w:r>
        <w:rPr>
          <w:rFonts w:hint="eastAsia" w:ascii="Times New Roman" w:hAnsi="Times New Roman"/>
          <w:kern w:val="0"/>
          <w:sz w:val="24"/>
        </w:rPr>
        <w:cr/>
      </w:r>
      <w:r>
        <w:rPr>
          <w:rFonts w:hint="eastAsia" w:ascii="Times New Roman" w:hAnsi="Times New Roman"/>
          <w:kern w:val="0"/>
          <w:sz w:val="24"/>
          <w:lang w:val="en-US" w:eastAsia="zh-CN"/>
        </w:rPr>
        <w:t xml:space="preserve">   </w:t>
      </w:r>
      <w:r>
        <w:rPr>
          <w:rFonts w:hint="eastAsia" w:ascii="Times New Roman" w:hAnsi="Times New Roman"/>
          <w:kern w:val="0"/>
          <w:sz w:val="24"/>
        </w:rPr>
        <w:t xml:space="preserve">
（二）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 </w:t>
      </w:r>
      <w:r>
        <w:rPr>
          <w:rFonts w:hint="eastAsia" w:ascii="Times New Roman" w:hAnsi="Times New Roman"/>
          <w:kern w:val="0"/>
          <w:sz w:val="24"/>
        </w:rPr>
        <w:cr/>
      </w:r>
      <w:r>
        <w:rPr>
          <w:rFonts w:hint="eastAsia" w:ascii="Times New Roman" w:hAnsi="Times New Roman"/>
          <w:kern w:val="0"/>
          <w:sz w:val="24"/>
          <w:lang w:val="en-US" w:eastAsia="zh-CN"/>
        </w:rPr>
        <w:t xml:space="preserve">    </w:t>
      </w:r>
      <w:r>
        <w:rPr>
          <w:rFonts w:hint="eastAsia" w:ascii="Times New Roman" w:hAnsi="Times New Roman"/>
          <w:kern w:val="0"/>
          <w:sz w:val="24"/>
        </w:rPr>
        <w:t xml:space="preserve">
（三）竞得人竞得该宗采矿权，还需向出让人另外支付该采矿权出让工作成本14.1万元，在签订采矿权成交确认书后15个工作日内一次性支付。 </w:t>
      </w:r>
      <w:r>
        <w:rPr>
          <w:rFonts w:hint="eastAsia" w:ascii="Times New Roman" w:hAnsi="Times New Roman"/>
          <w:kern w:val="0"/>
          <w:sz w:val="24"/>
        </w:rPr>
        <w:cr/>
      </w:r>
      <w:r>
        <w:rPr>
          <w:rFonts w:hint="eastAsia" w:ascii="Times New Roman" w:hAnsi="Times New Roman"/>
          <w:kern w:val="0"/>
          <w:sz w:val="24"/>
          <w:lang w:val="en-US" w:eastAsia="zh-CN"/>
        </w:rPr>
        <w:t xml:space="preserve">   </w:t>
      </w:r>
      <w:r>
        <w:rPr>
          <w:rFonts w:hint="eastAsia" w:ascii="Times New Roman" w:hAnsi="Times New Roman"/>
          <w:kern w:val="0"/>
          <w:sz w:val="24"/>
        </w:rPr>
        <w:t>
（四）竞得人须按照《国网重庆石柱供电公司关于迁建35kV大朝线部分线路的回函》(渝电石函〔2020〕54号)规定及相关规程规范出资迁建35KV线路(大朝线43号、44号、45号) 电杆。</w:t>
      </w:r>
      <w:r>
        <w:rPr>
          <w:rFonts w:hint="eastAsia" w:ascii="Times New Roman" w:hAnsi="Times New Roman" w:eastAsia="方正仿宋_GBK"/>
          <w:sz w:val="24"/>
          <w:szCs w:val="28"/>
        </w:rPr>
        <w:cr/>
      </w:r>
      <w:r>
        <w:rPr>
          <w:rFonts w:hint="eastAsia" w:ascii="Times New Roman" w:hAnsi="Times New Roman" w:eastAsia="方正仿宋_GBK"/>
          <w:sz w:val="24"/>
          <w:szCs w:val="28"/>
        </w:rPr>
        <w:t>
</w:t>
      </w:r>
    </w:p>
    <w:p>
      <w:pPr>
        <w:pageBreakBefore/>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石柱县万朝镇茶园村甘溪沟建筑石料用灰岩矿山采矿权</w:t>
      </w:r>
    </w:p>
    <w:p>
      <w:pPr>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 xml:space="preserve">SZGC202001 </w:t>
      </w:r>
    </w:p>
    <w:p>
      <w:pPr>
        <w:spacing w:line="360" w:lineRule="exact"/>
        <w:ind w:firstLine="420" w:firstLineChars="200"/>
        <w:rPr>
          <w:rStyle w:val="7"/>
          <w:rFonts w:ascii="Times New Roman" w:hAnsi="Times New Roman"/>
          <w:szCs w:val="21"/>
        </w:rPr>
      </w:pPr>
      <w:r>
        <w:rPr>
          <w:rFonts w:hint="eastAsia" w:ascii="Times New Roman" w:hAnsi="Times New Roman"/>
          <w:szCs w:val="21"/>
        </w:rPr>
        <w:t>石柱县万朝镇茶园村甘溪沟建筑石料用灰岩矿山</w:t>
      </w:r>
      <w:r>
        <w:rPr>
          <w:rFonts w:ascii="Times New Roman" w:hAnsi="Times New Roman"/>
          <w:kern w:val="0"/>
          <w:szCs w:val="21"/>
        </w:rPr>
        <w:t>采矿权位于</w:t>
      </w:r>
      <w:r>
        <w:rPr>
          <w:rFonts w:hint="eastAsia" w:ascii="Times New Roman" w:hAnsi="Times New Roman"/>
          <w:szCs w:val="21"/>
        </w:rPr>
        <w:t>石柱县万朝镇万康村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本次</w:t>
      </w:r>
      <w:r>
        <w:rPr>
          <w:rFonts w:hint="eastAsia" w:ascii="Times New Roman" w:hAnsi="Times New Roman"/>
          <w:kern w:val="0"/>
          <w:szCs w:val="21"/>
        </w:rPr>
        <w:t>公告</w:t>
      </w:r>
      <w:r>
        <w:rPr>
          <w:rFonts w:asciiTheme="minorEastAsia" w:hAnsiTheme="minorEastAsia"/>
          <w:kern w:val="0"/>
          <w:szCs w:val="21"/>
        </w:rPr>
        <w:t>网址为：</w:t>
      </w:r>
      <w:r>
        <w:rPr>
          <w:rFonts w:hint="eastAsia" w:asciiTheme="minorEastAsia" w:hAnsiTheme="minorEastAsia"/>
          <w:szCs w:val="21"/>
        </w:rPr>
        <w:t>石柱土家族自治县公共资源交易中心</w:t>
      </w:r>
      <w:r>
        <w:rPr>
          <w:rFonts w:asciiTheme="minorEastAsia" w:hAnsiTheme="minorEastAsia"/>
          <w:szCs w:val="21"/>
        </w:rPr>
        <w:t>（</w:t>
      </w:r>
      <w:r>
        <w:rPr>
          <w:rFonts w:hint="eastAsia" w:asciiTheme="minorEastAsia" w:hAnsiTheme="minorEastAsia"/>
          <w:szCs w:val="21"/>
        </w:rPr>
        <w:t>http://ggzyjy.cqszx.gov.cn/</w:t>
      </w:r>
      <w:r>
        <w:rPr>
          <w:rFonts w:asciiTheme="minorEastAsia" w:hAnsiTheme="minorEastAsia"/>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hint="eastAsia" w:asciiTheme="minorEastAsia" w:hAnsiTheme="minorEastAsia"/>
          <w:szCs w:val="21"/>
        </w:rPr>
        <w:t>2020年09月14日09时</w:t>
      </w:r>
      <w:r>
        <w:rPr>
          <w:rFonts w:asciiTheme="minorEastAsia" w:hAnsiTheme="minorEastAsia"/>
          <w:szCs w:val="21"/>
        </w:rPr>
        <w:t>-</w:t>
      </w:r>
      <w:r>
        <w:rPr>
          <w:rFonts w:hint="eastAsia" w:asciiTheme="minorEastAsia" w:hAnsiTheme="minorEastAsia"/>
          <w:szCs w:val="21"/>
        </w:rPr>
        <w:t>2020年10月15日18时</w:t>
      </w:r>
      <w:r>
        <w:rPr>
          <w:rFonts w:asciiTheme="minorEastAsia" w:hAnsiTheme="minorEastAsia"/>
          <w:kern w:val="0"/>
          <w:szCs w:val="21"/>
        </w:rPr>
        <w:t>；</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（二）采矿权名称（暂定名）：</w:t>
      </w:r>
      <w:r>
        <w:rPr>
          <w:rFonts w:hint="eastAsia" w:ascii="Times New Roman" w:hAnsi="Times New Roman"/>
          <w:szCs w:val="21"/>
        </w:rPr>
        <w:t>石柱县万朝镇茶园村甘溪沟建筑石料用灰岩矿山</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（三）地理位置：</w:t>
      </w:r>
      <w:r>
        <w:rPr>
          <w:rFonts w:hint="eastAsia" w:ascii="Times New Roman" w:hAnsi="Times New Roman"/>
          <w:szCs w:val="21"/>
        </w:rPr>
        <w:t>石柱县万朝镇万康村</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（四）出让收益起始价：</w:t>
      </w:r>
      <w:r>
        <w:rPr>
          <w:rFonts w:hint="eastAsia" w:ascii="Times New Roman" w:hAnsi="Times New Roman"/>
          <w:szCs w:val="21"/>
        </w:rPr>
        <w:t>9061</w:t>
      </w:r>
      <w:r>
        <w:rPr>
          <w:rFonts w:ascii="Times New Roman" w:hAnsi="Times New Roman"/>
          <w:kern w:val="0"/>
          <w:szCs w:val="21"/>
        </w:rPr>
        <w:t>万元；</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（五）矿区面积：</w:t>
      </w:r>
      <w:r>
        <w:rPr>
          <w:rFonts w:hint="eastAsia" w:ascii="Times New Roman" w:hAnsi="Times New Roman"/>
          <w:szCs w:val="21"/>
        </w:rPr>
        <w:t>0.2857</w:t>
      </w:r>
      <w:r>
        <w:rPr>
          <w:rFonts w:ascii="Times New Roman" w:hAnsi="Times New Roman"/>
          <w:kern w:val="0"/>
          <w:szCs w:val="21"/>
        </w:rPr>
        <w:t>平方公里；</w:t>
      </w:r>
    </w:p>
    <w:p>
      <w:pPr>
        <w:spacing w:line="360" w:lineRule="exact"/>
        <w:ind w:firstLine="420" w:firstLineChars="200"/>
        <w:rPr>
          <w:rStyle w:val="7"/>
          <w:rFonts w:ascii="Times New Roman" w:hAnsi="Times New Roman"/>
          <w:szCs w:val="21"/>
        </w:rPr>
      </w:pPr>
      <w:r>
        <w:rPr>
          <w:rFonts w:ascii="Times New Roman" w:hAnsi="Times New Roman"/>
          <w:kern w:val="0"/>
          <w:szCs w:val="21"/>
        </w:rPr>
        <w:t>（六）开采标高：</w:t>
      </w:r>
      <w:r>
        <w:rPr>
          <w:rFonts w:hint="eastAsia" w:ascii="Times New Roman" w:hAnsi="Times New Roman"/>
        </w:rPr>
        <w:t>820米至620米</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（七）开采矿种：</w:t>
      </w:r>
      <w:r>
        <w:rPr>
          <w:rFonts w:hint="eastAsia" w:ascii="Times New Roman" w:hAnsi="Times New Roman"/>
          <w:szCs w:val="21"/>
        </w:rPr>
        <w:t>建筑石料用灰岩</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（八）资源储量：</w:t>
      </w:r>
      <w:r>
        <w:rPr>
          <w:rFonts w:hint="eastAsia" w:ascii="Times New Roman" w:hAnsi="Times New Roman"/>
          <w:szCs w:val="21"/>
        </w:rPr>
        <w:t>4395.4万吨</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（九）生产规模：</w:t>
      </w:r>
      <w:r>
        <w:rPr>
          <w:rFonts w:hint="eastAsia" w:ascii="Times New Roman" w:hAnsi="Times New Roman"/>
          <w:szCs w:val="21"/>
        </w:rPr>
        <w:t>120万吨</w:t>
      </w:r>
      <w:r>
        <w:rPr>
          <w:rFonts w:hint="eastAsia" w:ascii="Times New Roman" w:hAnsi="Times New Roman"/>
          <w:szCs w:val="21"/>
          <w:lang w:val="en-US" w:eastAsia="zh-CN"/>
        </w:rPr>
        <w:t>/年</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（十）采矿权出让年限：</w:t>
      </w:r>
      <w:r>
        <w:rPr>
          <w:rFonts w:hint="eastAsia" w:ascii="Times New Roman" w:hAnsi="Times New Roman"/>
          <w:szCs w:val="21"/>
        </w:rPr>
        <w:t>29.95</w:t>
      </w:r>
      <w:r>
        <w:rPr>
          <w:rFonts w:ascii="Times New Roman" w:hAnsi="Times New Roman"/>
          <w:kern w:val="0"/>
          <w:szCs w:val="21"/>
        </w:rPr>
        <w:t>年；</w:t>
      </w:r>
    </w:p>
    <w:p>
      <w:pPr>
        <w:spacing w:line="360" w:lineRule="exact"/>
        <w:ind w:firstLine="420" w:firstLineChars="200"/>
        <w:jc w:val="left"/>
        <w:rPr>
          <w:rFonts w:ascii="Times New Roman" w:hAnsi="Times New Roman"/>
          <w:kern w:val="0"/>
          <w:szCs w:val="21"/>
        </w:rPr>
      </w:pPr>
      <w:r>
        <w:rPr>
          <w:rFonts w:ascii="Times New Roman" w:hAnsi="Times New Roman"/>
          <w:kern w:val="0"/>
          <w:szCs w:val="21"/>
        </w:rPr>
        <w:t>（十一）矿区范围坐标（2000坐标系）：</w:t>
      </w:r>
    </w:p>
    <w:tbl>
      <w:tblPr>
        <w:tblStyle w:val="5"/>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13" w:type="dxa"/>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gridSpan w:val="2"/>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2655" w:type="dxa"/>
            <w:gridSpan w:val="3"/>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3337713.18</w:t>
            </w:r>
          </w:p>
        </w:tc>
        <w:tc>
          <w:p>
            <w:pPr>
              <w:spacing w:line="360" w:lineRule="exact"/>
              <w:jc w:val="center"/>
              <w:rPr>
                <w:rFonts w:ascii="Times New Roman" w:hAnsi="Times New Roman"/>
                <w:szCs w:val="21"/>
              </w:rPr>
            </w:pPr>
            <w:r>
              <w:rPr>
                <w:rFonts w:hint="eastAsia" w:ascii="Times New Roman" w:hAnsi="Times New Roman"/>
                <w:szCs w:val="21"/>
              </w:rPr>
              <w:t>36510466.42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3337890.72</w:t>
            </w:r>
          </w:p>
        </w:tc>
        <w:tc>
          <w:p>
            <w:pPr>
              <w:spacing w:line="360" w:lineRule="exact"/>
              <w:jc w:val="center"/>
              <w:rPr>
                <w:rFonts w:ascii="Times New Roman" w:hAnsi="Times New Roman"/>
                <w:szCs w:val="21"/>
              </w:rPr>
            </w:pPr>
            <w:r>
              <w:rPr>
                <w:rFonts w:hint="eastAsia" w:ascii="Times New Roman" w:hAnsi="Times New Roman"/>
                <w:szCs w:val="21"/>
              </w:rPr>
              <w:t>36510599.48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3338041.44</w:t>
            </w:r>
          </w:p>
        </w:tc>
        <w:tc>
          <w:p>
            <w:pPr>
              <w:spacing w:line="360" w:lineRule="exact"/>
              <w:jc w:val="center"/>
              <w:rPr>
                <w:rFonts w:ascii="Times New Roman" w:hAnsi="Times New Roman"/>
                <w:szCs w:val="21"/>
              </w:rPr>
            </w:pPr>
            <w:r>
              <w:rPr>
                <w:rFonts w:hint="eastAsia" w:ascii="Times New Roman" w:hAnsi="Times New Roman"/>
                <w:szCs w:val="21"/>
              </w:rPr>
              <w:t>36510471.39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3338361.84</w:t>
            </w:r>
          </w:p>
        </w:tc>
        <w:tc>
          <w:p>
            <w:pPr>
              <w:spacing w:line="360" w:lineRule="exact"/>
              <w:jc w:val="center"/>
              <w:rPr>
                <w:rFonts w:ascii="Times New Roman" w:hAnsi="Times New Roman"/>
                <w:szCs w:val="21"/>
              </w:rPr>
            </w:pPr>
            <w:r>
              <w:rPr>
                <w:rFonts w:hint="eastAsia" w:ascii="Times New Roman" w:hAnsi="Times New Roman"/>
                <w:szCs w:val="21"/>
              </w:rPr>
              <w:t>36510841.22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3338299.99</w:t>
            </w:r>
          </w:p>
        </w:tc>
        <w:tc>
          <w:p>
            <w:pPr>
              <w:spacing w:line="360" w:lineRule="exact"/>
              <w:jc w:val="center"/>
              <w:rPr>
                <w:rFonts w:ascii="Times New Roman" w:hAnsi="Times New Roman"/>
                <w:szCs w:val="21"/>
              </w:rPr>
            </w:pPr>
            <w:r>
              <w:rPr>
                <w:rFonts w:hint="eastAsia" w:ascii="Times New Roman" w:hAnsi="Times New Roman"/>
                <w:szCs w:val="21"/>
              </w:rPr>
              <w:t>36510925.84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3338014.48</w:t>
            </w:r>
          </w:p>
        </w:tc>
        <w:tc>
          <w:p>
            <w:pPr>
              <w:spacing w:line="360" w:lineRule="exact"/>
              <w:jc w:val="center"/>
              <w:rPr>
                <w:rFonts w:ascii="Times New Roman" w:hAnsi="Times New Roman"/>
                <w:szCs w:val="21"/>
              </w:rPr>
            </w:pPr>
            <w:r>
              <w:rPr>
                <w:rFonts w:hint="eastAsia" w:ascii="Times New Roman" w:hAnsi="Times New Roman"/>
                <w:szCs w:val="21"/>
              </w:rPr>
              <w:t>36511212.40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3337791.56</w:t>
            </w:r>
          </w:p>
        </w:tc>
        <w:tc>
          <w:p>
            <w:pPr>
              <w:spacing w:line="360" w:lineRule="exact"/>
              <w:jc w:val="center"/>
              <w:rPr>
                <w:rFonts w:ascii="Times New Roman" w:hAnsi="Times New Roman"/>
                <w:szCs w:val="21"/>
              </w:rPr>
            </w:pPr>
            <w:r>
              <w:rPr>
                <w:rFonts w:hint="eastAsia" w:ascii="Times New Roman" w:hAnsi="Times New Roman"/>
                <w:szCs w:val="21"/>
              </w:rPr>
              <w:t>36510885.22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3337616.65</w:t>
            </w:r>
          </w:p>
        </w:tc>
        <w:tc>
          <w:p>
            <w:pPr>
              <w:spacing w:line="360" w:lineRule="exact"/>
              <w:jc w:val="center"/>
              <w:rPr>
                <w:rFonts w:ascii="Times New Roman" w:hAnsi="Times New Roman"/>
                <w:szCs w:val="21"/>
              </w:rPr>
            </w:pPr>
            <w:r>
              <w:rPr>
                <w:rFonts w:hint="eastAsia" w:ascii="Times New Roman" w:hAnsi="Times New Roman"/>
                <w:szCs w:val="21"/>
              </w:rPr>
              <w:t>36510579.13</w:t>
            </w:r>
          </w:p>
        </w:tc>
      </w:tr>
    </w:tbl>
    <w:p>
      <w:pPr>
        <w:spacing w:line="360" w:lineRule="exact"/>
        <w:ind w:firstLine="464" w:firstLineChars="220"/>
        <w:rPr>
          <w:rStyle w:val="7"/>
          <w:rFonts w:ascii="Times New Roman" w:hAnsi="Times New Roman"/>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（一）出让人及承办机构 </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本次采矿权出让人为</w:t>
      </w:r>
      <w:r>
        <w:rPr>
          <w:rFonts w:hint="eastAsia" w:asciiTheme="minorEastAsia" w:hAnsiTheme="minorEastAsia"/>
          <w:kern w:val="0"/>
          <w:szCs w:val="21"/>
        </w:rPr>
        <w:t>石柱土家族自治县规划和自然资源局</w:t>
      </w:r>
      <w:r>
        <w:rPr>
          <w:rFonts w:asciiTheme="minorEastAsia" w:hAnsiTheme="minorEastAsia"/>
          <w:kern w:val="0"/>
          <w:szCs w:val="21"/>
        </w:rPr>
        <w:t>，采矿权出让承办机构为</w:t>
      </w:r>
      <w:r>
        <w:rPr>
          <w:rFonts w:hint="eastAsia" w:asciiTheme="minorEastAsia" w:hAnsiTheme="minorEastAsia"/>
          <w:kern w:val="0"/>
          <w:szCs w:val="21"/>
        </w:rPr>
        <w:t>石柱土家族自治县公共资源交易中心</w:t>
      </w:r>
      <w:r>
        <w:rPr>
          <w:rFonts w:asciiTheme="minorEastAsia" w:hAnsiTheme="minorEastAsia"/>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1、</w:t>
      </w:r>
      <w:r>
        <w:rPr>
          <w:rFonts w:hint="eastAsia" w:asciiTheme="minorEastAsia" w:hAnsiTheme="minorEastAsia"/>
          <w:szCs w:val="21"/>
        </w:rPr>
        <w:t>石柱土家族自治县规划和自然资源局</w:t>
      </w:r>
      <w:r>
        <w:rPr>
          <w:rFonts w:asciiTheme="minorEastAsia" w:hAnsiTheme="minorEastAsia"/>
          <w:kern w:val="0"/>
          <w:szCs w:val="21"/>
        </w:rPr>
        <w:t>联系方式</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地址：</w:t>
      </w:r>
      <w:r>
        <w:rPr>
          <w:rFonts w:hint="eastAsia" w:cs="宋体" w:asciiTheme="minorEastAsia" w:hAnsiTheme="minorEastAsia"/>
          <w:szCs w:val="21"/>
        </w:rPr>
        <w:t>石柱县万安街道万寿大道100号</w:t>
      </w:r>
      <w:r>
        <w:rPr>
          <w:rFonts w:asciiTheme="minorEastAsia" w:hAnsiTheme="minorEastAsia"/>
          <w:kern w:val="0"/>
          <w:szCs w:val="21"/>
        </w:rPr>
        <w:t>，联系人：</w:t>
      </w:r>
      <w:r>
        <w:rPr>
          <w:rFonts w:hint="eastAsia" w:cs="宋体" w:asciiTheme="minorEastAsia" w:hAnsiTheme="minorEastAsia"/>
          <w:szCs w:val="21"/>
        </w:rPr>
        <w:t>刘老师</w:t>
      </w:r>
      <w:r>
        <w:rPr>
          <w:rFonts w:asciiTheme="minorEastAsia" w:hAnsiTheme="minorEastAsia"/>
          <w:kern w:val="0"/>
          <w:szCs w:val="21"/>
        </w:rPr>
        <w:t>，联系电话：</w:t>
      </w:r>
      <w:r>
        <w:rPr>
          <w:rFonts w:hint="eastAsia" w:asciiTheme="minorEastAsia" w:hAnsiTheme="minorEastAsia"/>
          <w:szCs w:val="21"/>
        </w:rPr>
        <w:t>023-73378499</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2、</w:t>
      </w:r>
      <w:r>
        <w:rPr>
          <w:rFonts w:hint="eastAsia" w:asciiTheme="minorEastAsia" w:hAnsiTheme="minorEastAsia"/>
          <w:szCs w:val="21"/>
        </w:rPr>
        <w:t>石柱土家族自治县公共资源交易中心</w:t>
      </w:r>
      <w:r>
        <w:rPr>
          <w:rFonts w:asciiTheme="minorEastAsia" w:hAnsiTheme="minorEastAsia"/>
          <w:kern w:val="0"/>
          <w:szCs w:val="21"/>
        </w:rPr>
        <w:t>联系方式</w:t>
      </w:r>
    </w:p>
    <w:p>
      <w:pPr>
        <w:spacing w:line="360" w:lineRule="exact"/>
        <w:ind w:firstLine="420" w:firstLineChars="200"/>
        <w:rPr>
          <w:rFonts w:asciiTheme="minorEastAsia" w:hAnsiTheme="minorEastAsia"/>
          <w:kern w:val="0"/>
          <w:szCs w:val="21"/>
        </w:rPr>
      </w:pPr>
      <w:r>
        <w:rPr>
          <w:rFonts w:asciiTheme="minorEastAsia" w:hAnsiTheme="minorEastAsia"/>
          <w:kern w:val="0"/>
          <w:szCs w:val="21"/>
        </w:rPr>
        <w:t>地址：</w:t>
      </w:r>
      <w:r>
        <w:rPr>
          <w:rFonts w:hint="eastAsia" w:asciiTheme="minorEastAsia" w:hAnsiTheme="minorEastAsia"/>
          <w:szCs w:val="21"/>
        </w:rPr>
        <w:t>石柱县新城区写字楼5楼511室</w:t>
      </w:r>
      <w:r>
        <w:rPr>
          <w:rFonts w:asciiTheme="minorEastAsia" w:hAnsiTheme="minorEastAsia"/>
          <w:kern w:val="0"/>
          <w:szCs w:val="21"/>
        </w:rPr>
        <w:t>，联系人：</w:t>
      </w:r>
      <w:r>
        <w:rPr>
          <w:rFonts w:hint="eastAsia" w:asciiTheme="minorEastAsia" w:hAnsiTheme="minorEastAsia"/>
          <w:szCs w:val="21"/>
        </w:rPr>
        <w:t>左老师</w:t>
      </w:r>
      <w:r>
        <w:rPr>
          <w:rFonts w:asciiTheme="minorEastAsia" w:hAnsiTheme="minorEastAsia"/>
          <w:kern w:val="0"/>
          <w:szCs w:val="21"/>
        </w:rPr>
        <w:t>，联系电话：</w:t>
      </w:r>
      <w:r>
        <w:rPr>
          <w:rFonts w:hint="eastAsia" w:asciiTheme="minorEastAsia" w:hAnsiTheme="minorEastAsia"/>
          <w:szCs w:val="21"/>
        </w:rPr>
        <w:t>023-73377087</w:t>
      </w:r>
    </w:p>
    <w:p>
      <w:pPr>
        <w:spacing w:line="360" w:lineRule="exact"/>
        <w:ind w:firstLine="422" w:firstLineChars="200"/>
        <w:rPr>
          <w:rStyle w:val="7"/>
          <w:rFonts w:ascii="Times New Roman" w:hAnsi="Times New Roman"/>
          <w:szCs w:val="21"/>
        </w:rPr>
      </w:pPr>
      <w:r>
        <w:rPr>
          <w:rStyle w:val="7"/>
          <w:rFonts w:ascii="Times New Roman" w:hAnsi="Times New Roman"/>
          <w:szCs w:val="21"/>
        </w:rPr>
        <w:t>三、竞买申请人准入条件</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（一）竞买申请人须为营利法人；</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（二）竞买申请人属于以下情形之一的不得参与竞买：</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1、在自然资源部矿业权人勘查开采信息公示系统的“矿业权人异常名录”“矿业权人严重违法名单”内；</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2.通过“信用中国”查询，在自然资源部联合惩戒备忘录或重庆市信用惩戒严重失信主体“黑名单”内限制禁止参与采矿权出让的；</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3.被吊销采矿许可证之日起2年内。</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2020年10月16日09时30分</w:t>
      </w:r>
      <w:r>
        <w:rPr>
          <w:rFonts w:ascii="Times New Roman" w:hAnsi="Times New Roman" w:cs="Times New Roman"/>
          <w:szCs w:val="21"/>
        </w:rPr>
        <w:t>-</w:t>
      </w:r>
      <w:r>
        <w:rPr>
          <w:rFonts w:hint="eastAsia" w:ascii="Times New Roman" w:hAnsi="Times New Roman" w:cs="Times New Roman"/>
          <w:szCs w:val="21"/>
        </w:rPr>
        <w:t>2020年10月16日12时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石柱县新城区写字楼5楼511室</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左老师</w:t>
      </w:r>
      <w:r>
        <w:rPr>
          <w:rFonts w:ascii="Times New Roman" w:hAnsi="Times New Roman" w:cs="Times New Roman"/>
          <w:szCs w:val="21"/>
        </w:rPr>
        <w:t>，联系电话：</w:t>
      </w:r>
      <w:r>
        <w:rPr>
          <w:rFonts w:hint="eastAsia" w:ascii="Times New Roman" w:hAnsi="Times New Roman" w:cs="Times New Roman"/>
          <w:szCs w:val="21"/>
        </w:rPr>
        <w:t>023-73377087</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石柱土家族自治县公共资源交易中心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7、竞买保证金缴款凭据（复印件1份）</w:t>
      </w:r>
      <w:r>
        <w:rPr>
          <w:rFonts w:hint="eastAsia" w:ascii="Times New Roman" w:hAnsi="Times New Roman" w:cs="Times New Roman"/>
          <w:szCs w:val="21"/>
        </w:rPr>
        <w:cr/>
      </w:r>
      <w:r>
        <w:rPr>
          <w:rFonts w:hint="eastAsia" w:ascii="Times New Roman" w:hAnsi="Times New Roman" w:cs="Times New Roman"/>
          <w:szCs w:val="21"/>
        </w:rPr>
        <w:t>
8、固定资产转接保证金凭据（县规划和自然资源局出具的正式收据复印件1份）</w:t>
      </w:r>
      <w:r>
        <w:rPr>
          <w:rFonts w:hint="eastAsia" w:ascii="Times New Roman" w:hAnsi="Times New Roman" w:cs="Times New Roman"/>
          <w:szCs w:val="21"/>
        </w:rPr>
        <w:cr/>
      </w:r>
      <w:r>
        <w:rPr>
          <w:rFonts w:hint="eastAsia" w:ascii="Times New Roman" w:hAnsi="Times New Roman" w:cs="Times New Roman"/>
          <w:szCs w:val="21"/>
        </w:rPr>
        <w:t>
9、县规划自然资源局相关证明材料(仅限原采矿权人) （原件1份)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2718</w:t>
      </w:r>
      <w:r>
        <w:rPr>
          <w:rFonts w:ascii="Times New Roman" w:hAnsi="Times New Roman" w:cs="Times New Roman"/>
          <w:szCs w:val="21"/>
        </w:rPr>
        <w:t>万元（大写：</w:t>
      </w:r>
      <w:r>
        <w:rPr>
          <w:rFonts w:hint="eastAsia" w:ascii="宋体" w:hAnsi="宋体" w:eastAsia="宋体" w:cs="宋体"/>
          <w:szCs w:val="21"/>
        </w:rPr>
        <w:t>贰仟柒佰壹拾捌万元整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石柱土家族自治县公共资源综合交易中心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2020年10月16日09时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开户行：重庆银行石柱支行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帐号：760101040005460。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开户行：中国农业银行石柱万寿支行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帐号：31820201040002166。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开户行：中国工商银行石柱支行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帐号：3100019329200103180。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开户行：中国建设银行股份有限公司石柱良玉广场支行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帐号：50050120620009345678。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开户行：重庆农村商业银行石柱支行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帐号：4501010120010018239000000。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石柱土家族自治县公共资源综合交易中心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2" w:firstLineChars="200"/>
        <w:rPr>
          <w:rStyle w:val="7"/>
          <w:rFonts w:ascii="Times New Roman" w:hAnsi="Times New Roman" w:cs="Times New Roman"/>
          <w:szCs w:val="21"/>
        </w:rPr>
      </w:pPr>
      <w:r>
        <w:rPr>
          <w:rStyle w:val="7"/>
          <w:rFonts w:ascii="Times New Roman" w:hAnsi="Times New Roman" w:cs="Times New Roman"/>
          <w:szCs w:val="21"/>
        </w:rPr>
        <w:t>五、</w:t>
      </w:r>
      <w:r>
        <w:rPr>
          <w:rStyle w:val="7"/>
          <w:rFonts w:hint="eastAsia" w:ascii="Times New Roman" w:hAnsi="Times New Roman" w:cs="Times New Roman"/>
          <w:szCs w:val="21"/>
        </w:rPr>
        <w:t>采</w:t>
      </w:r>
      <w:r>
        <w:rPr>
          <w:rStyle w:val="7"/>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50 万</w:t>
      </w:r>
      <w:r>
        <w:rPr>
          <w:rFonts w:ascii="Times New Roman" w:hAnsi="Times New Roman" w:cs="Times New Roman"/>
          <w:szCs w:val="21"/>
        </w:rPr>
        <w:t>元。拍卖时间为</w:t>
      </w:r>
      <w:r>
        <w:rPr>
          <w:rFonts w:hint="eastAsia" w:ascii="Times New Roman" w:hAnsi="Times New Roman" w:cs="Times New Roman"/>
          <w:szCs w:val="21"/>
        </w:rPr>
        <w:t xml:space="preserve">  </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222222"/>
          <w:szCs w:val="21"/>
        </w:rPr>
      </w:pPr>
      <w:r>
        <w:rPr>
          <w:rStyle w:val="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石柱土家族自治县公共资源交易中心</w:t>
      </w:r>
      <w:r>
        <w:rPr>
          <w:rFonts w:ascii="Times New Roman" w:hAnsi="Times New Roman" w:cs="Times New Roman"/>
          <w:szCs w:val="21"/>
        </w:rPr>
        <w:t>现场签订《采矿权出让成交确认书》。</w:t>
      </w:r>
    </w:p>
    <w:p>
      <w:pPr>
        <w:spacing w:line="360" w:lineRule="exact"/>
        <w:ind w:firstLine="422" w:firstLineChars="200"/>
        <w:rPr>
          <w:rStyle w:val="7"/>
          <w:rFonts w:ascii="Times New Roman" w:hAnsi="Times New Roman" w:cs="Times New Roman"/>
        </w:rPr>
      </w:pPr>
      <w:r>
        <w:rPr>
          <w:rStyle w:val="7"/>
          <w:rFonts w:ascii="Times New Roman" w:hAnsi="Times New Roman" w:cs="Times New Roman"/>
          <w:color w:val="222222"/>
          <w:szCs w:val="21"/>
        </w:rPr>
        <w:t>七、</w:t>
      </w:r>
      <w:r>
        <w:rPr>
          <w:rStyle w:val="7"/>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本宗采矿权成交确认后，采矿权出让收益分六期在连续六年内缴清，每期缴纳时间间隔在 12 个月内。首期缴纳比例为总出让收益的 30%，在出让合同签订后 7 个工作日内缴纳；第二期缴纳比例为总出让收益的20%；第三期缴纳比例为总出让收益的18%；第四期缴纳比例为总出让收益的15%；第五期缴纳比例为总出让收益的10%；第六期缴纳比例为总出让收益的7%。</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八</w:t>
      </w:r>
      <w:r>
        <w:rPr>
          <w:rStyle w:val="7"/>
          <w:rFonts w:ascii="Times New Roman" w:hAnsi="Times New Roman" w:cs="Times New Roman"/>
          <w:color w:val="222222"/>
          <w:szCs w:val="21"/>
        </w:rPr>
        <w:t>、交易中止或终止</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 xml:space="preserve">  </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九</w:t>
      </w:r>
      <w:r>
        <w:rPr>
          <w:rStyle w:val="7"/>
          <w:rFonts w:ascii="Times New Roman" w:hAnsi="Times New Roman" w:cs="Times New Roman"/>
          <w:color w:val="222222"/>
          <w:szCs w:val="21"/>
        </w:rPr>
        <w:t>、违约责任</w:t>
      </w:r>
    </w:p>
    <w:p>
      <w:pPr>
        <w:spacing w:line="360" w:lineRule="exact"/>
        <w:ind w:firstLine="420" w:firstLineChars="200"/>
        <w:rPr>
          <w:rStyle w:val="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6、竞买人或竞得人有其他违背法律法规、《竞买须知》、《成交确认书》的规定的行为。</w:t>
      </w:r>
    </w:p>
    <w:p>
      <w:pPr>
        <w:spacing w:line="360" w:lineRule="exact"/>
        <w:ind w:firstLine="422" w:firstLineChars="200"/>
        <w:rPr>
          <w:rStyle w:val="7"/>
          <w:rFonts w:ascii="Times New Roman" w:hAnsi="Times New Roman" w:cs="Times New Roman"/>
          <w:color w:val="222222"/>
          <w:szCs w:val="21"/>
        </w:rPr>
      </w:pPr>
      <w:r>
        <w:rPr>
          <w:rStyle w:val="7"/>
        </w:rPr>
        <w:t>十</w:t>
      </w:r>
      <w:r>
        <w:rPr>
          <w:rStyle w:val="7"/>
          <w:rFonts w:ascii="Times New Roman" w:hAnsi="Times New Roman" w:cs="Times New Roman"/>
          <w:color w:val="222222"/>
          <w:szCs w:val="21"/>
        </w:rPr>
        <w:t>、注意事项</w:t>
      </w:r>
    </w:p>
    <w:p>
      <w:pPr>
        <w:spacing w:line="360" w:lineRule="exact"/>
        <w:ind w:firstLine="420"/>
        <w:rPr>
          <w:rStyle w:val="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 xml:space="preserve">  </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一</w:t>
      </w:r>
      <w:r>
        <w:rPr>
          <w:rStyle w:val="7"/>
          <w:rFonts w:ascii="Times New Roman" w:hAnsi="Times New Roman" w:cs="Times New Roman"/>
          <w:color w:val="222222"/>
          <w:szCs w:val="21"/>
        </w:rPr>
        <w:t>、其他重要提示及要求</w:t>
      </w:r>
    </w:p>
    <w:p>
      <w:pPr>
        <w:spacing w:line="360" w:lineRule="exact"/>
        <w:ind w:firstLine="420" w:firstLineChars="200"/>
        <w:rPr>
          <w:rStyle w:val="7"/>
          <w:rFonts w:ascii="Times New Roman" w:hAnsi="Times New Roman" w:cs="Times New Roman"/>
          <w:color w:val="222222"/>
          <w:szCs w:val="21"/>
        </w:rPr>
      </w:pPr>
      <w:r>
        <w:rPr>
          <w:rStyle w:val="7"/>
          <w:rFonts w:hint="eastAsia" w:ascii="Times New Roman" w:hAnsi="Times New Roman" w:cs="Times New Roman"/>
          <w:b w:val="0"/>
          <w:bCs w:val="0"/>
          <w:szCs w:val="21"/>
        </w:rPr>
        <w:t xml:space="preserve">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 </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 xml:space="preserve">
2、该宗矿权属已建矿山增划资源，新竞得人需要同时对原采矿权人固定资产进行转接。竞买申请人除须交纳竞买保证金外，还须足额交纳原采矿权人固定资产费用7268.70万元至固定资产转接保证金账户，未按时到帐的，不予受理竞买报名资格（原采矿权人参与本次竞买，不需缴纳固定资产转接保证金，持县规划自然资源局相关证明材料按竞买要求参与竞买）。 </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
3、竞买申请人应于竞买报名截止时间之前，向石柱土家族自治县规划和自然资源局指定的唯一账户交纳原采矿权人固定资产转接保证金人民币7268.70万元（大写：柒仟贰佰陆拾捌万柒仟元整）。竞买申请人交款时间以银行确认的到帐时间为准。竞买申请人交纳原采矿权人固定资产转接保证金到账截止时间为：：2020年10月16日09时。</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固定资产转接保证金户名：石柱县财政局；</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固定资产转接保证金开户银行：重庆农村商业银行石柱支行；</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固定资产转接保证金账号：4501010120010011341；</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固定资产转接保证金账户只接受银行转账或电汇方式转入，不接受现金或现金汇款。</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温馨提示：为避免因固定资产转接保证金到账时间延误，影响您竞买资格，建议您在固定资产转接保证金到账截止时间的1至2天之前交纳转接保证金。并注名缴规划和自然资源局固定资产转接保证金。</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
4、如成功竞得，在采矿权成交确认书签订后30个工作日内，由出让人将竞得人交纳的原采矿权人固定资产转接保证金支付给原采矿权人，并协调新、旧采矿权人完成固定资产转接工作。如未竞得，未竞得人交纳的固定资产保证金在竞拍成交后5个工作日内不计息全额退回。</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
5、原矿区已出让的剩余资源储量约41万吨（最终以储量核实报告和现场交付的为准）。原矿区已出让的剩余资源价值按实际剩余资源储量乘以评估资源单价（2.06元/吨）计算，剩余资源价款于采矿权成交确认书签订后30个工作日内，由竞得人另行支付给原采矿权人。</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
6、竞得人须按照《国网重庆石柱供电公司关于迁建35kV大朝线部分线路的回函》(渝电石函〔2020〕54号)规定及相关规程规范出资迁建35KV线路(大朝线43号、44号、45号) 电杆。</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
7、竞得人在采矿权成交确认书签订后5个工作日内将固定资产评估费用12万元支付给原采矿权人。</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 xml:space="preserve">
8、原则上自采矿许可证发证之日起一年内投产，逾期投产的，除政府原因或者不可抗力外，出让人有权解除出让合同并重新公开出让。 </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 xml:space="preserve">
9、竞得人竞得该宗采矿权，还需向出让人另外支付该采矿权出让工作成本14.1万元，在签订采矿权成交确认书后15个工作日内一次性支付。 </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
10、竞得人须自行或委托编制矿山地质环境恢复治理和土地复垦方案并通过审查，同时按照《矿山地质环境保护规定》等相关规定履行矿山地质环境保护相关义务。</w:t>
      </w:r>
      <w:r>
        <w:rPr>
          <w:rStyle w:val="7"/>
          <w:rFonts w:hint="eastAsia" w:ascii="Times New Roman" w:hAnsi="Times New Roman" w:cs="Times New Roman"/>
          <w:b w:val="0"/>
          <w:bCs w:val="0"/>
          <w:szCs w:val="21"/>
        </w:rPr>
        <w:cr/>
      </w: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二</w:t>
      </w:r>
      <w:r>
        <w:rPr>
          <w:rStyle w:val="7"/>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石柱土家族自治县规划和自然资源局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石柱土家族自治县公共资源交易中心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2020年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石柱县万朝镇茶园村甘溪沟建筑石料用灰岩矿山</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附件五：《采矿权成交确认书》模板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附件六：采矿权竞买资料清单</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w:t>
      </w:r>
      <w:r>
        <w:rPr>
          <w:rStyle w:val="7"/>
          <w:rFonts w:hint="eastAsia" w:ascii="Times New Roman" w:hAnsi="Times New Roman" w:cs="Times New Roman"/>
          <w:b w:val="0"/>
          <w:color w:val="222222"/>
          <w:szCs w:val="21"/>
          <w:lang w:val="en-US" w:eastAsia="zh-CN"/>
        </w:rPr>
        <w:t>七</w:t>
      </w:r>
      <w:r>
        <w:rPr>
          <w:rStyle w:val="7"/>
          <w:rFonts w:hint="eastAsia" w:ascii="Times New Roman" w:hAnsi="Times New Roman" w:cs="Times New Roman"/>
          <w:b w:val="0"/>
          <w:color w:val="222222"/>
          <w:szCs w:val="21"/>
        </w:rPr>
        <w:t>：挂牌出让竞买报价单</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w:t>
      </w:r>
      <w:r>
        <w:rPr>
          <w:rStyle w:val="7"/>
          <w:rFonts w:hint="eastAsia" w:ascii="Times New Roman" w:hAnsi="Times New Roman" w:cs="Times New Roman"/>
          <w:b w:val="0"/>
          <w:color w:val="222222"/>
          <w:szCs w:val="21"/>
          <w:lang w:val="en-US" w:eastAsia="zh-CN"/>
        </w:rPr>
        <w:t>八</w:t>
      </w:r>
      <w:r>
        <w:rPr>
          <w:rStyle w:val="7"/>
          <w:rFonts w:hint="eastAsia" w:ascii="Times New Roman" w:hAnsi="Times New Roman" w:cs="Times New Roman"/>
          <w:b w:val="0"/>
          <w:color w:val="222222"/>
          <w:szCs w:val="21"/>
        </w:rPr>
        <w:t>：保证金划缴委托书</w:t>
      </w:r>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640" w:firstLineChars="200"/>
        <w:rPr>
          <w:rFonts w:ascii="Times New Roman" w:hAnsi="Times New Roman" w:eastAsia="仿宋_GB2312" w:cs="Times New Roman"/>
          <w:color w:val="000000"/>
          <w:sz w:val="32"/>
          <w:szCs w:val="32"/>
        </w:rPr>
      </w:pPr>
      <w:bookmarkStart w:id="0" w:name="_GoBack"/>
      <w:bookmarkEnd w:id="0"/>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BE2608"/>
    <w:rsid w:val="00141460"/>
    <w:rsid w:val="001C6D11"/>
    <w:rsid w:val="002317FE"/>
    <w:rsid w:val="002E4F7B"/>
    <w:rsid w:val="002F2432"/>
    <w:rsid w:val="00337E3D"/>
    <w:rsid w:val="003475F3"/>
    <w:rsid w:val="00350BA8"/>
    <w:rsid w:val="003665CF"/>
    <w:rsid w:val="00396A72"/>
    <w:rsid w:val="003F7639"/>
    <w:rsid w:val="00436D14"/>
    <w:rsid w:val="004533B2"/>
    <w:rsid w:val="0046456C"/>
    <w:rsid w:val="00464857"/>
    <w:rsid w:val="004C7BA1"/>
    <w:rsid w:val="004F6A34"/>
    <w:rsid w:val="005626AF"/>
    <w:rsid w:val="00576278"/>
    <w:rsid w:val="005A2CB8"/>
    <w:rsid w:val="005B5920"/>
    <w:rsid w:val="005B72CE"/>
    <w:rsid w:val="005F1E22"/>
    <w:rsid w:val="00616755"/>
    <w:rsid w:val="00636C0C"/>
    <w:rsid w:val="00641734"/>
    <w:rsid w:val="0064247D"/>
    <w:rsid w:val="006721D3"/>
    <w:rsid w:val="0068498A"/>
    <w:rsid w:val="00722273"/>
    <w:rsid w:val="00730E3E"/>
    <w:rsid w:val="00737251"/>
    <w:rsid w:val="00745AAA"/>
    <w:rsid w:val="007548DC"/>
    <w:rsid w:val="007C2430"/>
    <w:rsid w:val="00831089"/>
    <w:rsid w:val="00875F07"/>
    <w:rsid w:val="008E4021"/>
    <w:rsid w:val="009043D8"/>
    <w:rsid w:val="00927647"/>
    <w:rsid w:val="00947A5D"/>
    <w:rsid w:val="00952F1D"/>
    <w:rsid w:val="00A36A29"/>
    <w:rsid w:val="00A44CD7"/>
    <w:rsid w:val="00AA158F"/>
    <w:rsid w:val="00AD0380"/>
    <w:rsid w:val="00B30A03"/>
    <w:rsid w:val="00B57CB5"/>
    <w:rsid w:val="00BD555D"/>
    <w:rsid w:val="00BE5422"/>
    <w:rsid w:val="00C10F01"/>
    <w:rsid w:val="00C20107"/>
    <w:rsid w:val="00C353A0"/>
    <w:rsid w:val="00CB2153"/>
    <w:rsid w:val="00CF493F"/>
    <w:rsid w:val="00CF6295"/>
    <w:rsid w:val="00D17BC5"/>
    <w:rsid w:val="00D34C75"/>
    <w:rsid w:val="00DA1759"/>
    <w:rsid w:val="00DA33E0"/>
    <w:rsid w:val="00DA39D0"/>
    <w:rsid w:val="00E043A0"/>
    <w:rsid w:val="00E242B2"/>
    <w:rsid w:val="00E27A00"/>
    <w:rsid w:val="00E54FED"/>
    <w:rsid w:val="00EA5772"/>
    <w:rsid w:val="00ED4EEF"/>
    <w:rsid w:val="00F23D8A"/>
    <w:rsid w:val="00F57630"/>
    <w:rsid w:val="00F869B8"/>
    <w:rsid w:val="019069B9"/>
    <w:rsid w:val="09EE70F4"/>
    <w:rsid w:val="0D602B5F"/>
    <w:rsid w:val="0DD854C1"/>
    <w:rsid w:val="15FB06FE"/>
    <w:rsid w:val="197214E6"/>
    <w:rsid w:val="1E1F5112"/>
    <w:rsid w:val="1E702125"/>
    <w:rsid w:val="223C7AFD"/>
    <w:rsid w:val="236F1DF7"/>
    <w:rsid w:val="27F832B0"/>
    <w:rsid w:val="28BE2608"/>
    <w:rsid w:val="2A3C4523"/>
    <w:rsid w:val="2C5E3C88"/>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22"/>
    <w:rPr>
      <w:b/>
      <w:bCs/>
    </w:rPr>
  </w:style>
  <w:style w:type="character" w:styleId="8">
    <w:name w:val="page number"/>
    <w:basedOn w:val="6"/>
    <w:qFormat/>
    <w:uiPriority w:val="0"/>
  </w:style>
  <w:style w:type="character" w:customStyle="1" w:styleId="9">
    <w:name w:val="页脚 Char"/>
    <w:link w:val="3"/>
    <w:qFormat/>
    <w:uiPriority w:val="0"/>
    <w:rPr>
      <w:kern w:val="2"/>
      <w:sz w:val="18"/>
      <w:szCs w:val="18"/>
    </w:rPr>
  </w:style>
  <w:style w:type="character" w:customStyle="1" w:styleId="10">
    <w:name w:val="页眉 Char"/>
    <w:link w:val="4"/>
    <w:qFormat/>
    <w:uiPriority w:val="0"/>
    <w:rPr>
      <w:kern w:val="2"/>
      <w:sz w:val="18"/>
      <w:szCs w:val="18"/>
    </w:rPr>
  </w:style>
  <w:style w:type="table" w:customStyle="1" w:styleId="11">
    <w:name w:val="网格型1"/>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2">
    <w:name w:val="批注框文本 Char"/>
    <w:basedOn w:val="6"/>
    <w:link w:val="2"/>
    <w:semiHidden/>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7</Pages>
  <Words>839</Words>
  <Characters>4785</Characters>
  <Lines>39</Lines>
  <Paragraphs>11</Paragraphs>
  <TotalTime>0</TotalTime>
  <ScaleCrop>false</ScaleCrop>
  <LinksUpToDate>false</LinksUpToDate>
  <CharactersWithSpaces>5613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2020-08-14T09:08:00Z</dcterms:created>
  <dc:creator>lihuan</dc:creator>
  <cp:lastModifiedBy>朱建生</cp:lastModifiedBy>
  <dcterms:modified xsi:type="dcterms:W3CDTF">2020-09-14T03:28:37Z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