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小标宋_GBK" w:cs="Times New Roman"/>
          <w:sz w:val="44"/>
          <w:szCs w:val="24"/>
        </w:rPr>
      </w:pPr>
      <w:r>
        <w:rPr>
          <w:rFonts w:ascii="Times New Roman" w:hAnsi="Times New Roman" w:eastAsia="方正小标宋_GBK" w:cs="Times New Roman"/>
          <w:sz w:val="44"/>
          <w:szCs w:val="24"/>
        </w:rPr>
        <w:t>重庆市采矿权出让合同</w:t>
      </w:r>
    </w:p>
    <w:p>
      <w:pPr>
        <w:spacing w:line="560" w:lineRule="exact"/>
        <w:jc w:val="center"/>
        <w:rPr>
          <w:rFonts w:ascii="Times New Roman" w:hAnsi="Times New Roman" w:eastAsia="宋体" w:cs="Times New Roman"/>
          <w:b/>
          <w:sz w:val="32"/>
          <w:szCs w:val="24"/>
        </w:rPr>
      </w:pPr>
    </w:p>
    <w:p>
      <w:pPr>
        <w:spacing w:line="560" w:lineRule="exact"/>
        <w:jc w:val="center"/>
        <w:rPr>
          <w:rFonts w:ascii="Times New Roman" w:hAnsi="Times New Roman" w:eastAsia="楷体_GB2312" w:cs="Times New Roman"/>
          <w:sz w:val="32"/>
          <w:szCs w:val="24"/>
        </w:rPr>
      </w:pPr>
      <w:r>
        <w:rPr>
          <w:rFonts w:ascii="Times New Roman" w:hAnsi="Times New Roman" w:eastAsia="楷体_GB2312" w:cs="Times New Roman"/>
          <w:sz w:val="32"/>
          <w:szCs w:val="24"/>
        </w:rPr>
        <w:t>渝采矿出字〔20</w:t>
      </w:r>
      <w:r>
        <w:rPr>
          <w:rFonts w:hint="eastAsia" w:ascii="Times New Roman" w:hAnsi="Times New Roman" w:eastAsia="楷体_GB2312" w:cs="Times New Roman"/>
          <w:sz w:val="32"/>
          <w:szCs w:val="24"/>
          <w:lang w:val="en-US" w:eastAsia="zh-CN"/>
        </w:rPr>
        <w:t>21</w:t>
      </w:r>
      <w:r>
        <w:rPr>
          <w:rFonts w:ascii="Times New Roman" w:hAnsi="Times New Roman" w:eastAsia="楷体_GB2312" w:cs="Times New Roman"/>
          <w:sz w:val="32"/>
          <w:szCs w:val="24"/>
        </w:rPr>
        <w:t>〕</w:t>
      </w:r>
      <w:r>
        <w:rPr>
          <w:rFonts w:hint="eastAsia" w:ascii="Times New Roman" w:hAnsi="Times New Roman" w:eastAsia="楷体_GB2312" w:cs="Times New Roman"/>
          <w:sz w:val="32"/>
          <w:szCs w:val="24"/>
        </w:rPr>
        <w:t>（</w:t>
      </w:r>
      <w:r>
        <w:rPr>
          <w:rFonts w:hint="eastAsia" w:ascii="Times New Roman" w:hAnsi="Times New Roman" w:eastAsia="楷体_GB2312" w:cs="Times New Roman"/>
          <w:sz w:val="32"/>
          <w:szCs w:val="24"/>
          <w:lang w:val="en-US" w:eastAsia="zh-CN"/>
        </w:rPr>
        <w:t>巫溪</w:t>
      </w:r>
      <w:r>
        <w:rPr>
          <w:rFonts w:hint="eastAsia" w:ascii="Times New Roman" w:hAnsi="Times New Roman" w:eastAsia="楷体_GB2312" w:cs="Times New Roman"/>
          <w:sz w:val="32"/>
          <w:szCs w:val="24"/>
        </w:rPr>
        <w:t>）</w:t>
      </w:r>
      <w:r>
        <w:rPr>
          <w:rFonts w:ascii="Times New Roman" w:hAnsi="Times New Roman" w:eastAsia="楷体_GB2312" w:cs="Times New Roman"/>
          <w:sz w:val="32"/>
          <w:szCs w:val="24"/>
        </w:rPr>
        <w:t>第</w:t>
      </w:r>
      <w:r>
        <w:rPr>
          <w:rFonts w:ascii="Times New Roman" w:hAnsi="Times New Roman" w:eastAsia="楷体_GB2312" w:cs="Times New Roman"/>
          <w:sz w:val="32"/>
          <w:szCs w:val="24"/>
          <w:u w:val="single"/>
        </w:rPr>
        <w:t xml:space="preserve">  </w:t>
      </w:r>
      <w:r>
        <w:rPr>
          <w:rFonts w:ascii="Times New Roman" w:hAnsi="Times New Roman" w:eastAsia="楷体_GB2312" w:cs="Times New Roman"/>
          <w:sz w:val="32"/>
          <w:szCs w:val="24"/>
        </w:rPr>
        <w:t>号</w:t>
      </w:r>
    </w:p>
    <w:p>
      <w:pPr>
        <w:spacing w:line="560" w:lineRule="exact"/>
        <w:rPr>
          <w:rFonts w:ascii="Times New Roman" w:hAnsi="Times New Roman" w:eastAsia="仿宋_GB2312" w:cs="Times New Roman"/>
          <w:sz w:val="32"/>
          <w:szCs w:val="24"/>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出  让  方：</w:t>
      </w:r>
      <w:r>
        <w:rPr>
          <w:rFonts w:hint="eastAsia" w:ascii="Times New Roman" w:hAnsi="Times New Roman" w:eastAsia="仿宋_GB2312" w:cs="Times New Roman"/>
          <w:sz w:val="32"/>
          <w:szCs w:val="32"/>
        </w:rPr>
        <w:t xml:space="preserve">巫溪县规划和自然资源局 </w:t>
      </w:r>
      <w:r>
        <w:rPr>
          <w:rFonts w:ascii="Times New Roman" w:hAnsi="Times New Roman" w:eastAsia="仿宋_GB2312" w:cs="Times New Roman"/>
          <w:sz w:val="32"/>
          <w:szCs w:val="32"/>
        </w:rPr>
        <w:t xml:space="preserve">    </w:t>
      </w:r>
    </w:p>
    <w:p>
      <w:pPr>
        <w:spacing w:line="440" w:lineRule="exact"/>
        <w:ind w:firstLine="632"/>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hint="eastAsia" w:ascii="Times New Roman" w:hAnsi="Times New Roman" w:eastAsia="仿宋_GB2312" w:cs="Times New Roman"/>
          <w:sz w:val="32"/>
          <w:szCs w:val="32"/>
        </w:rPr>
        <w:t xml:space="preserve">巫溪县柏杨街道春申大道158号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hint="eastAsia" w:ascii="Times New Roman" w:hAnsi="Times New Roman" w:eastAsia="仿宋_GB2312" w:cs="Times New Roman"/>
          <w:sz w:val="32"/>
          <w:szCs w:val="32"/>
        </w:rPr>
        <w:t xml:space="preserve">李  勇 </w:t>
      </w:r>
      <w:r>
        <w:rPr>
          <w:rFonts w:ascii="Times New Roman" w:hAnsi="Times New Roman" w:eastAsia="仿宋_GB2312" w:cs="Times New Roman"/>
          <w:sz w:val="32"/>
          <w:szCs w:val="32"/>
        </w:rPr>
        <w:t xml:space="preserve">        </w:t>
      </w:r>
      <w:r>
        <w:rPr>
          <w:rFonts w:ascii="Times New Roman" w:hAnsi="Times New Roman" w:eastAsia="仿宋_GB2312" w:cs="Times New Roman"/>
          <w:b/>
          <w:sz w:val="32"/>
          <w:szCs w:val="32"/>
        </w:rPr>
        <w:t>职   务：</w:t>
      </w:r>
      <w:r>
        <w:rPr>
          <w:rFonts w:ascii="Times New Roman" w:hAnsi="Times New Roman" w:eastAsia="仿宋_GB2312" w:cs="Times New Roman"/>
          <w:sz w:val="32"/>
          <w:szCs w:val="32"/>
        </w:rPr>
        <w:t>局  长</w:t>
      </w:r>
    </w:p>
    <w:p>
      <w:pPr>
        <w:spacing w:line="560" w:lineRule="exact"/>
        <w:ind w:firstLine="632"/>
        <w:rPr>
          <w:rFonts w:ascii="Times New Roman" w:hAnsi="Times New Roman" w:eastAsia="仿宋_GB2312" w:cs="Times New Roman"/>
          <w:sz w:val="32"/>
          <w:szCs w:val="32"/>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受  让  方：</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根据《中华人民共和国矿产资源法》、《中华人民共和国合同法》、《重庆市矿产资源管理条例》等有关法律法规规定，双方本着平等、自愿、公平、诚实信用的原则，依法订立本合同。</w:t>
      </w:r>
    </w:p>
    <w:p>
      <w:pPr>
        <w:spacing w:line="520" w:lineRule="exact"/>
        <w:ind w:firstLine="619" w:firstLineChars="200"/>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第一条</w:t>
      </w:r>
      <w:r>
        <w:rPr>
          <w:rFonts w:ascii="Times New Roman" w:hAnsi="Times New Roman" w:eastAsia="仿宋_GB2312" w:cs="Times New Roman"/>
          <w:spacing w:val="-6"/>
          <w:sz w:val="32"/>
          <w:szCs w:val="32"/>
        </w:rPr>
        <w:t xml:space="preserve">  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b/>
          <w:spacing w:val="-6"/>
          <w:sz w:val="32"/>
          <w:szCs w:val="32"/>
        </w:rPr>
        <w:t>第二条</w:t>
      </w:r>
      <w:r>
        <w:rPr>
          <w:rFonts w:ascii="Times New Roman" w:hAnsi="Times New Roman" w:eastAsia="仿宋_GB2312" w:cs="Times New Roman"/>
          <w:iCs/>
          <w:spacing w:val="-6"/>
          <w:sz w:val="32"/>
          <w:szCs w:val="32"/>
        </w:rPr>
        <w:t xml:space="preserve">  受让方通过下列第</w:t>
      </w:r>
      <w:r>
        <w:rPr>
          <w:rFonts w:ascii="Times New Roman" w:hAnsi="Times New Roman" w:eastAsia="仿宋_GB2312" w:cs="Times New Roman"/>
          <w:iCs/>
          <w:spacing w:val="-6"/>
          <w:sz w:val="32"/>
          <w:szCs w:val="32"/>
          <w:u w:val="single"/>
        </w:rPr>
        <w:t xml:space="preserve"> </w:t>
      </w:r>
      <w:r>
        <w:rPr>
          <w:rFonts w:hint="eastAsia" w:ascii="Times New Roman" w:hAnsi="Times New Roman" w:eastAsia="仿宋_GB2312" w:cs="Times New Roman"/>
          <w:iCs/>
          <w:spacing w:val="-6"/>
          <w:sz w:val="32"/>
          <w:szCs w:val="32"/>
          <w:u w:val="single"/>
          <w:lang w:val="en-US" w:eastAsia="zh-CN"/>
        </w:rPr>
        <w:t>1</w:t>
      </w:r>
      <w:r>
        <w:rPr>
          <w:rFonts w:ascii="Times New Roman" w:hAnsi="Times New Roman" w:eastAsia="仿宋_GB2312" w:cs="Times New Roman"/>
          <w:iCs/>
          <w:spacing w:val="-6"/>
          <w:sz w:val="32"/>
          <w:szCs w:val="32"/>
          <w:u w:val="single"/>
        </w:rPr>
        <w:t xml:space="preserve"> </w:t>
      </w:r>
      <w:r>
        <w:rPr>
          <w:rFonts w:ascii="Times New Roman" w:hAnsi="Times New Roman" w:eastAsia="仿宋_GB2312" w:cs="Times New Roman"/>
          <w:iCs/>
          <w:spacing w:val="-6"/>
          <w:sz w:val="32"/>
          <w:szCs w:val="32"/>
        </w:rPr>
        <w:t>种方式取得：</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1、公开出让</w:t>
      </w:r>
    </w:p>
    <w:p>
      <w:pPr>
        <w:spacing w:line="540" w:lineRule="exact"/>
        <w:ind w:firstLine="608"/>
        <w:rPr>
          <w:rFonts w:ascii="Times New Roman" w:hAnsi="Times New Roman" w:eastAsia="仿宋_GB2312" w:cs="Times New Roman"/>
          <w:iCs/>
          <w:spacing w:val="-6"/>
          <w:sz w:val="32"/>
          <w:szCs w:val="32"/>
          <w:u w:val="none"/>
        </w:rPr>
      </w:pPr>
      <w:r>
        <w:rPr>
          <w:rFonts w:ascii="Times New Roman" w:hAnsi="Times New Roman" w:eastAsia="仿宋_GB2312" w:cs="Times New Roman"/>
          <w:iCs/>
          <w:spacing w:val="-6"/>
          <w:sz w:val="32"/>
          <w:szCs w:val="32"/>
        </w:rPr>
        <w:t>出让方式：</w:t>
      </w:r>
      <w:r>
        <w:rPr>
          <w:rFonts w:hint="eastAsia" w:ascii="Times New Roman" w:hAnsi="Times New Roman" w:eastAsia="仿宋_GB2312" w:cs="Times New Roman"/>
          <w:iCs/>
          <w:spacing w:val="-6"/>
          <w:sz w:val="32"/>
          <w:szCs w:val="32"/>
          <w:u w:val="none"/>
        </w:rPr>
        <w:t xml:space="preserve"> </w:t>
      </w:r>
      <w:r>
        <w:rPr>
          <w:rFonts w:hint="eastAsia" w:ascii="Times New Roman" w:hAnsi="Times New Roman" w:eastAsia="仿宋_GB2312" w:cs="Times New Roman"/>
          <w:iCs/>
          <w:spacing w:val="-6"/>
          <w:sz w:val="32"/>
          <w:szCs w:val="32"/>
          <w:u w:val="none"/>
          <w:lang w:val="en-US" w:eastAsia="zh-CN"/>
        </w:rPr>
        <w:t>招拍挂</w:t>
      </w:r>
      <w:r>
        <w:rPr>
          <w:rFonts w:hint="eastAsia" w:ascii="Times New Roman" w:hAnsi="Times New Roman" w:eastAsia="仿宋_GB2312" w:cs="Times New Roman"/>
          <w:iCs/>
          <w:spacing w:val="-6"/>
          <w:sz w:val="32"/>
          <w:szCs w:val="32"/>
          <w:u w:val="none"/>
        </w:rPr>
        <w:t xml:space="preserve">     </w:t>
      </w:r>
    </w:p>
    <w:p>
      <w:pPr>
        <w:spacing w:line="540" w:lineRule="exact"/>
        <w:ind w:firstLine="608"/>
        <w:rPr>
          <w:rFonts w:ascii="Times New Roman" w:hAnsi="Times New Roman" w:eastAsia="仿宋_GB2312" w:cs="Times New Roman"/>
          <w:iCs/>
          <w:spacing w:val="-6"/>
          <w:sz w:val="32"/>
          <w:szCs w:val="32"/>
          <w:u w:val="none"/>
        </w:rPr>
      </w:pPr>
      <w:r>
        <w:rPr>
          <w:rFonts w:ascii="Times New Roman" w:hAnsi="Times New Roman" w:eastAsia="仿宋_GB2312" w:cs="Times New Roman"/>
          <w:iCs/>
          <w:spacing w:val="-6"/>
          <w:sz w:val="32"/>
          <w:szCs w:val="32"/>
        </w:rPr>
        <w:t>矿业权交易机构：</w:t>
      </w:r>
      <w:r>
        <w:rPr>
          <w:rFonts w:hint="eastAsia" w:ascii="Times New Roman" w:hAnsi="Times New Roman" w:eastAsia="仿宋_GB2312" w:cs="Times New Roman"/>
          <w:iCs/>
          <w:spacing w:val="-6"/>
          <w:sz w:val="32"/>
          <w:szCs w:val="32"/>
          <w:u w:val="none"/>
          <w:lang w:val="en-US" w:eastAsia="zh-CN"/>
        </w:rPr>
        <w:t>巫溪县公共资源交易服务</w:t>
      </w:r>
      <w:bookmarkStart w:id="0" w:name="_GoBack"/>
      <w:bookmarkEnd w:id="0"/>
      <w:r>
        <w:rPr>
          <w:rFonts w:hint="eastAsia" w:ascii="Times New Roman" w:hAnsi="Times New Roman" w:eastAsia="仿宋_GB2312" w:cs="Times New Roman"/>
          <w:iCs/>
          <w:spacing w:val="-6"/>
          <w:sz w:val="32"/>
          <w:szCs w:val="32"/>
          <w:u w:val="none"/>
          <w:lang w:val="en-US" w:eastAsia="zh-CN"/>
        </w:rPr>
        <w:t>中心</w:t>
      </w:r>
      <w:r>
        <w:rPr>
          <w:rFonts w:ascii="Times New Roman" w:hAnsi="Times New Roman" w:eastAsia="仿宋_GB2312" w:cs="Times New Roman"/>
          <w:iCs/>
          <w:spacing w:val="-6"/>
          <w:sz w:val="32"/>
          <w:szCs w:val="32"/>
          <w:u w:val="none"/>
        </w:rPr>
        <w:t xml:space="preserve">                </w:t>
      </w:r>
    </w:p>
    <w:p>
      <w:pPr>
        <w:spacing w:line="540" w:lineRule="exact"/>
        <w:ind w:firstLine="608"/>
        <w:rPr>
          <w:rFonts w:ascii="Times New Roman" w:hAnsi="Times New Roman" w:eastAsia="仿宋_GB2312" w:cs="Times New Roman"/>
          <w:iCs/>
          <w:spacing w:val="-6"/>
          <w:sz w:val="32"/>
          <w:szCs w:val="32"/>
          <w:u w:val="single"/>
        </w:rPr>
      </w:pPr>
      <w:r>
        <w:rPr>
          <w:rFonts w:ascii="Times New Roman" w:hAnsi="Times New Roman" w:eastAsia="仿宋_GB2312" w:cs="Times New Roman"/>
          <w:iCs/>
          <w:spacing w:val="-6"/>
          <w:sz w:val="32"/>
          <w:szCs w:val="32"/>
        </w:rPr>
        <w:t>交易机构法定代表人：</w:t>
      </w:r>
      <w:r>
        <w:rPr>
          <w:rFonts w:hint="eastAsia" w:ascii="Times New Roman" w:hAnsi="Times New Roman" w:eastAsia="仿宋_GB2312" w:cs="Times New Roman"/>
          <w:iCs/>
          <w:spacing w:val="-6"/>
          <w:sz w:val="32"/>
          <w:szCs w:val="32"/>
          <w:u w:val="single"/>
        </w:rPr>
        <w:t xml:space="preserve">     </w:t>
      </w:r>
    </w:p>
    <w:p>
      <w:pPr>
        <w:spacing w:line="540" w:lineRule="exact"/>
        <w:ind w:firstLine="608"/>
        <w:rPr>
          <w:rFonts w:ascii="Times New Roman" w:hAnsi="Times New Roman" w:eastAsia="仿宋_GB2312" w:cs="Times New Roman"/>
          <w:iCs/>
          <w:spacing w:val="-6"/>
          <w:sz w:val="32"/>
          <w:szCs w:val="32"/>
          <w:u w:val="none"/>
        </w:rPr>
      </w:pPr>
      <w:r>
        <w:rPr>
          <w:rFonts w:ascii="Times New Roman" w:hAnsi="Times New Roman" w:eastAsia="仿宋_GB2312" w:cs="Times New Roman"/>
          <w:iCs/>
          <w:spacing w:val="-6"/>
          <w:sz w:val="32"/>
          <w:szCs w:val="32"/>
        </w:rPr>
        <w:t>交易地点：</w:t>
      </w:r>
      <w:r>
        <w:rPr>
          <w:rFonts w:hint="eastAsia" w:ascii="Times New Roman" w:hAnsi="Times New Roman" w:eastAsia="仿宋_GB2312" w:cs="Times New Roman"/>
          <w:iCs/>
          <w:spacing w:val="-6"/>
          <w:sz w:val="32"/>
          <w:szCs w:val="32"/>
          <w:lang w:val="en-US" w:eastAsia="zh-CN"/>
        </w:rPr>
        <w:t>巫溪县春申大道200号</w:t>
      </w:r>
      <w:r>
        <w:rPr>
          <w:rFonts w:hint="eastAsia" w:ascii="Times New Roman" w:hAnsi="Times New Roman" w:eastAsia="仿宋_GB2312" w:cs="Times New Roman"/>
          <w:iCs/>
          <w:spacing w:val="-6"/>
          <w:sz w:val="32"/>
          <w:szCs w:val="32"/>
          <w:u w:val="none"/>
        </w:rPr>
        <w:t xml:space="preserve">      </w:t>
      </w:r>
      <w:r>
        <w:rPr>
          <w:rFonts w:ascii="Times New Roman" w:hAnsi="Times New Roman" w:eastAsia="仿宋_GB2312" w:cs="Times New Roman"/>
          <w:iCs/>
          <w:spacing w:val="-6"/>
          <w:sz w:val="32"/>
          <w:szCs w:val="32"/>
          <w:u w:val="none"/>
        </w:rPr>
        <w:t xml:space="preserve"> </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2、探矿权转采矿权</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3、协议出让</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第三条</w:t>
      </w:r>
      <w:r>
        <w:rPr>
          <w:rFonts w:ascii="Times New Roman" w:hAnsi="Times New Roman" w:eastAsia="仿宋_GB2312" w:cs="Times New Roman"/>
          <w:sz w:val="32"/>
          <w:szCs w:val="32"/>
        </w:rPr>
        <w:t xml:space="preserve"> 出让方出让给受让方的采矿权位于</w:t>
      </w:r>
      <w:r>
        <w:rPr>
          <w:rFonts w:hint="eastAsia" w:ascii="Times New Roman" w:hAnsi="Times New Roman" w:eastAsia="仿宋_GB2312" w:cs="Times New Roman"/>
          <w:sz w:val="32"/>
          <w:szCs w:val="32"/>
          <w:lang w:val="en-US" w:eastAsia="zh-CN"/>
        </w:rPr>
        <w:t>巫溪县文峰镇人和村</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矿山名称</w:t>
      </w:r>
      <w:r>
        <w:rPr>
          <w:rFonts w:hint="eastAsia" w:ascii="Times New Roman" w:hAnsi="Times New Roman" w:eastAsia="仿宋_GB2312" w:cs="Times New Roman"/>
          <w:spacing w:val="-6"/>
          <w:sz w:val="32"/>
          <w:szCs w:val="32"/>
          <w:lang w:val="en-US" w:eastAsia="zh-CN"/>
        </w:rPr>
        <w:t>巫溪县文峰镇人和村建筑石料用灰岩矿</w:t>
      </w:r>
      <w:r>
        <w:rPr>
          <w:rFonts w:hint="eastAsia" w:ascii="宋体" w:hAnsi="宋体" w:eastAsia="宋体" w:cs="宋体"/>
          <w:kern w:val="0"/>
          <w:sz w:val="28"/>
          <w:szCs w:val="28"/>
          <w:u w:val="none"/>
        </w:rPr>
        <w:t>，</w:t>
      </w:r>
      <w:r>
        <w:rPr>
          <w:rFonts w:ascii="Times New Roman" w:hAnsi="Times New Roman" w:eastAsia="仿宋_GB2312" w:cs="Times New Roman"/>
          <w:spacing w:val="-6"/>
          <w:sz w:val="32"/>
          <w:szCs w:val="32"/>
        </w:rPr>
        <w:t>矿区面积</w:t>
      </w:r>
      <w:r>
        <w:rPr>
          <w:rFonts w:hint="eastAsia" w:ascii="Times New Roman" w:hAnsi="Times New Roman" w:eastAsia="仿宋_GB2312" w:cs="Times New Roman"/>
          <w:spacing w:val="-6"/>
          <w:sz w:val="32"/>
          <w:szCs w:val="32"/>
          <w:u w:val="none"/>
          <w:lang w:val="en-US" w:eastAsia="zh-CN"/>
        </w:rPr>
        <w:t>0.0563</w:t>
      </w:r>
      <w:r>
        <w:rPr>
          <w:rFonts w:ascii="Times New Roman" w:hAnsi="Times New Roman" w:eastAsia="仿宋_GB2312" w:cs="Times New Roman"/>
          <w:spacing w:val="-6"/>
          <w:sz w:val="32"/>
          <w:szCs w:val="32"/>
        </w:rPr>
        <w:t>平方公里，</w:t>
      </w:r>
      <w:r>
        <w:rPr>
          <w:rFonts w:ascii="Times New Roman" w:hAnsi="Times New Roman" w:eastAsia="仿宋_GB2312" w:cs="Times New Roman"/>
          <w:sz w:val="32"/>
          <w:szCs w:val="32"/>
        </w:rPr>
        <w:t>出让矿种为</w:t>
      </w:r>
      <w:r>
        <w:rPr>
          <w:rFonts w:hint="eastAsia" w:ascii="Times New Roman" w:hAnsi="Times New Roman" w:eastAsia="仿宋_GB2312" w:cs="Times New Roman"/>
          <w:sz w:val="32"/>
          <w:szCs w:val="32"/>
          <w:u w:val="none"/>
          <w:lang w:val="en-US" w:eastAsia="zh-CN"/>
        </w:rPr>
        <w:t>建筑石料用灰岩</w:t>
      </w:r>
      <w:r>
        <w:rPr>
          <w:rFonts w:ascii="Times New Roman" w:hAnsi="Times New Roman" w:eastAsia="仿宋_GB2312" w:cs="Times New Roman"/>
          <w:sz w:val="32"/>
          <w:szCs w:val="32"/>
        </w:rPr>
        <w:t>矿，资源储量</w:t>
      </w:r>
      <w:r>
        <w:rPr>
          <w:rFonts w:hint="eastAsia" w:ascii="Times New Roman" w:hAnsi="Times New Roman" w:eastAsia="仿宋_GB2312" w:cs="Times New Roman"/>
          <w:sz w:val="32"/>
          <w:szCs w:val="32"/>
          <w:u w:val="none"/>
          <w:lang w:val="en-US" w:eastAsia="zh-CN"/>
        </w:rPr>
        <w:t>177.7</w:t>
      </w:r>
      <w:r>
        <w:rPr>
          <w:rFonts w:ascii="Times New Roman" w:hAnsi="Times New Roman" w:eastAsia="仿宋_GB2312" w:cs="Times New Roman"/>
          <w:sz w:val="32"/>
          <w:szCs w:val="32"/>
        </w:rPr>
        <w:t>万吨。矿区范围拐点坐标表</w:t>
      </w:r>
      <w:r>
        <w:rPr>
          <w:rFonts w:hint="eastAsia" w:ascii="Times New Roman" w:hAnsi="Times New Roman" w:eastAsia="仿宋_GB2312" w:cs="Times New Roman"/>
          <w:sz w:val="32"/>
          <w:szCs w:val="32"/>
        </w:rPr>
        <w:t>如下（2000坐标系）：</w:t>
      </w:r>
    </w:p>
    <w:tbl>
      <w:tblPr>
        <w:tblStyle w:val="6"/>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907"/>
        <w:gridCol w:w="1966"/>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X坐标</w:t>
            </w: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Y坐标</w:t>
            </w: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X坐标</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ascii="Times New Roman" w:hAnsi="Times New Roman" w:cs="Times New Roman"/>
                <w:kern w:val="0"/>
                <w:szCs w:val="21"/>
              </w:rPr>
            </w:pPr>
            <w:r>
              <w:rPr>
                <w:rFonts w:hint="eastAsia" w:ascii="Times New Roman" w:hAnsi="Times New Roman" w:eastAsia="方正仿宋_GBK" w:cs="Times New Roman"/>
                <w:kern w:val="0"/>
                <w:sz w:val="24"/>
                <w:lang w:val="en-US" w:eastAsia="zh-CN"/>
              </w:rPr>
              <w:t>1</w:t>
            </w: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hint="default" w:ascii="Times New Roman" w:hAnsi="Times New Roman" w:cs="Times New Roman"/>
                <w:kern w:val="0"/>
                <w:szCs w:val="21"/>
                <w:lang w:val="en-US"/>
              </w:rPr>
            </w:pPr>
            <w:r>
              <w:rPr>
                <w:rFonts w:hint="eastAsia" w:ascii="Times New Roman" w:hAnsi="Times New Roman" w:eastAsia="方正仿宋_GBK" w:cs="Times New Roman"/>
                <w:kern w:val="0"/>
                <w:sz w:val="24"/>
                <w:lang w:val="en-US" w:eastAsia="zh-CN"/>
              </w:rPr>
              <w:t>3472809.89</w:t>
            </w: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hint="default" w:ascii="Times New Roman" w:hAnsi="Times New Roman" w:cs="Times New Roman"/>
                <w:kern w:val="0"/>
                <w:szCs w:val="21"/>
                <w:lang w:val="en-US"/>
              </w:rPr>
            </w:pPr>
            <w:r>
              <w:rPr>
                <w:rFonts w:hint="eastAsia" w:ascii="Times New Roman" w:hAnsi="Times New Roman" w:eastAsia="方正仿宋_GBK" w:cs="Times New Roman"/>
                <w:kern w:val="0"/>
                <w:sz w:val="24"/>
                <w:lang w:val="en-US" w:eastAsia="zh-CN"/>
              </w:rPr>
              <w:t>36618008.54</w:t>
            </w: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hint="eastAsia" w:ascii="Times New Roman" w:hAnsi="Times New Roman" w:cs="Times New Roman" w:eastAsiaTheme="minorEastAsia"/>
                <w:kern w:val="0"/>
                <w:szCs w:val="21"/>
                <w:lang w:val="en-US" w:eastAsia="zh-CN"/>
              </w:rPr>
            </w:pPr>
            <w:r>
              <w:rPr>
                <w:rFonts w:hint="eastAsia" w:ascii="Times New Roman" w:hAnsi="Times New Roman" w:cs="Times New Roman"/>
                <w:kern w:val="0"/>
                <w:szCs w:val="21"/>
                <w:lang w:val="en-US" w:eastAsia="zh-CN"/>
              </w:rPr>
              <w:t>3</w:t>
            </w: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hint="default" w:ascii="方正仿宋_GBK" w:hAnsi="方正仿宋_GBK" w:eastAsia="方正仿宋_GBK" w:cs="方正仿宋_GBK"/>
                <w:color w:val="000000"/>
                <w:kern w:val="0"/>
                <w:sz w:val="20"/>
                <w:szCs w:val="20"/>
                <w:lang w:val="en-US" w:bidi="ar"/>
              </w:rPr>
            </w:pPr>
            <w:r>
              <w:rPr>
                <w:rFonts w:hint="eastAsia" w:ascii="Times New Roman" w:hAnsi="Times New Roman" w:eastAsia="方正仿宋_GBK" w:cs="Times New Roman"/>
                <w:kern w:val="0"/>
                <w:sz w:val="24"/>
                <w:lang w:val="en-US" w:eastAsia="zh-CN"/>
              </w:rPr>
              <w:t>3473041.75</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hint="default" w:ascii="方正仿宋_GBK" w:hAnsi="方正仿宋_GBK" w:eastAsia="方正仿宋_GBK" w:cs="方正仿宋_GBK"/>
                <w:color w:val="000000"/>
                <w:kern w:val="0"/>
                <w:sz w:val="20"/>
                <w:szCs w:val="20"/>
                <w:lang w:val="en-US" w:bidi="ar"/>
              </w:rPr>
            </w:pPr>
            <w:r>
              <w:rPr>
                <w:rFonts w:hint="eastAsia" w:ascii="Times New Roman" w:hAnsi="Times New Roman" w:eastAsia="方正仿宋_GBK" w:cs="Times New Roman"/>
                <w:kern w:val="0"/>
                <w:sz w:val="24"/>
                <w:lang w:val="en-US" w:eastAsia="zh-CN"/>
              </w:rPr>
              <w:t>36618258.92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ascii="Times New Roman" w:hAnsi="Times New Roman" w:cs="Times New Roman"/>
                <w:kern w:val="0"/>
                <w:szCs w:val="21"/>
              </w:rPr>
            </w:pPr>
            <w:r>
              <w:rPr>
                <w:rFonts w:hint="eastAsia" w:ascii="Times New Roman" w:hAnsi="Times New Roman" w:eastAsia="方正仿宋_GBK" w:cs="Times New Roman"/>
                <w:kern w:val="0"/>
                <w:sz w:val="24"/>
                <w:lang w:val="en-US" w:eastAsia="zh-CN"/>
              </w:rPr>
              <w:t>2</w:t>
            </w: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hint="default" w:ascii="Times New Roman" w:hAnsi="Times New Roman" w:cs="Times New Roman"/>
                <w:kern w:val="0"/>
                <w:szCs w:val="21"/>
                <w:lang w:val="en-US"/>
              </w:rPr>
            </w:pPr>
            <w:r>
              <w:rPr>
                <w:rFonts w:hint="eastAsia" w:ascii="Times New Roman" w:hAnsi="Times New Roman" w:eastAsia="方正仿宋_GBK" w:cs="Times New Roman"/>
                <w:kern w:val="0"/>
                <w:sz w:val="24"/>
                <w:lang w:val="en-US" w:eastAsia="zh-CN"/>
              </w:rPr>
              <w:t>3472770.06</w:t>
            </w: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hint="default" w:ascii="Times New Roman" w:hAnsi="Times New Roman" w:cs="Times New Roman"/>
                <w:kern w:val="0"/>
                <w:szCs w:val="21"/>
                <w:lang w:val="en-US"/>
              </w:rPr>
            </w:pPr>
            <w:r>
              <w:rPr>
                <w:rFonts w:hint="eastAsia" w:ascii="Times New Roman" w:hAnsi="Times New Roman" w:eastAsia="方正仿宋_GBK" w:cs="Times New Roman"/>
                <w:kern w:val="0"/>
                <w:sz w:val="24"/>
                <w:lang w:val="en-US" w:eastAsia="zh-CN"/>
              </w:rPr>
              <w:t>36618219.62</w:t>
            </w: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hint="eastAsia" w:ascii="Times New Roman" w:hAnsi="Times New Roman" w:cs="Times New Roman" w:eastAsiaTheme="minorEastAsia"/>
                <w:kern w:val="0"/>
                <w:szCs w:val="21"/>
                <w:lang w:val="en-US" w:eastAsia="zh-CN"/>
              </w:rPr>
            </w:pPr>
            <w:r>
              <w:rPr>
                <w:rFonts w:hint="eastAsia" w:ascii="Times New Roman" w:hAnsi="Times New Roman" w:cs="Times New Roman"/>
                <w:kern w:val="0"/>
                <w:szCs w:val="21"/>
                <w:lang w:val="en-US" w:eastAsia="zh-CN"/>
              </w:rPr>
              <w:t>4</w:t>
            </w: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hint="default" w:ascii="Times New Roman" w:hAnsi="Times New Roman" w:cs="Times New Roman"/>
                <w:kern w:val="0"/>
                <w:szCs w:val="21"/>
                <w:lang w:val="en-US"/>
              </w:rPr>
            </w:pPr>
            <w:r>
              <w:rPr>
                <w:rFonts w:hint="eastAsia" w:ascii="Times New Roman" w:hAnsi="Times New Roman" w:eastAsia="方正仿宋_GBK" w:cs="Times New Roman"/>
                <w:kern w:val="0"/>
                <w:sz w:val="24"/>
                <w:lang w:val="en-US" w:eastAsia="zh-CN"/>
              </w:rPr>
              <w:t>3473067.84</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hint="default" w:ascii="Times New Roman" w:hAnsi="Times New Roman" w:cs="Times New Roman"/>
                <w:kern w:val="0"/>
                <w:szCs w:val="21"/>
                <w:lang w:val="en-US"/>
              </w:rPr>
            </w:pPr>
            <w:r>
              <w:rPr>
                <w:rFonts w:hint="eastAsia" w:ascii="Times New Roman" w:hAnsi="Times New Roman" w:eastAsia="方正仿宋_GBK" w:cs="Times New Roman"/>
                <w:kern w:val="0"/>
                <w:sz w:val="24"/>
                <w:lang w:val="en-US" w:eastAsia="zh-CN"/>
              </w:rPr>
              <w:t>36618055.92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83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kern w:val="0"/>
                <w:szCs w:val="21"/>
              </w:rPr>
              <w:t>标高：</w:t>
            </w:r>
            <w:r>
              <w:rPr>
                <w:rFonts w:hint="eastAsia" w:ascii="Times New Roman" w:hAnsi="Times New Roman" w:cs="Times New Roman"/>
                <w:kern w:val="0"/>
                <w:szCs w:val="21"/>
                <w:lang w:val="en-US" w:eastAsia="zh-CN"/>
              </w:rPr>
              <w:t>+1395米至+1340米</w:t>
            </w:r>
          </w:p>
        </w:tc>
      </w:tr>
    </w:tbl>
    <w:p>
      <w:pPr>
        <w:spacing w:line="520" w:lineRule="exact"/>
        <w:ind w:firstLine="619" w:firstLineChars="200"/>
        <w:jc w:val="lef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第四条  </w:t>
      </w:r>
      <w:r>
        <w:rPr>
          <w:rFonts w:ascii="Times New Roman" w:hAnsi="Times New Roman" w:eastAsia="仿宋_GB2312" w:cs="Times New Roman"/>
          <w:spacing w:val="-6"/>
          <w:sz w:val="32"/>
          <w:szCs w:val="32"/>
        </w:rPr>
        <w:t>本合同约定的采矿权出让年限为</w:t>
      </w:r>
      <w:r>
        <w:rPr>
          <w:rFonts w:hint="eastAsia" w:ascii="Times New Roman" w:hAnsi="Times New Roman" w:eastAsia="仿宋_GB2312" w:cs="Times New Roman"/>
          <w:spacing w:val="-6"/>
          <w:sz w:val="32"/>
          <w:szCs w:val="32"/>
          <w:u w:val="none"/>
          <w:lang w:val="en-US" w:eastAsia="zh-CN"/>
        </w:rPr>
        <w:t>8.3年</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自签订采矿权出让合同之日起计算（自</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日起至</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日止）。</w:t>
      </w:r>
    </w:p>
    <w:p>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 xml:space="preserve">第五条  </w:t>
      </w:r>
      <w:r>
        <w:rPr>
          <w:rFonts w:ascii="Times New Roman" w:hAnsi="Times New Roman" w:eastAsia="仿宋_GB2312" w:cs="Times New Roman"/>
          <w:spacing w:val="-6"/>
          <w:sz w:val="32"/>
          <w:szCs w:val="32"/>
        </w:rPr>
        <w:t>本合同采矿权出让收益为人民币大写</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（小写：￥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第六条  </w:t>
      </w:r>
      <w:r>
        <w:rPr>
          <w:rFonts w:ascii="Times New Roman" w:hAnsi="Times New Roman" w:eastAsia="仿宋_GB2312" w:cs="Times New Roman"/>
          <w:spacing w:val="-6"/>
          <w:sz w:val="32"/>
          <w:szCs w:val="32"/>
        </w:rPr>
        <w:t>受让方同意按下列第</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种方式缴纳采矿权出让收益：</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1、自本合同签订之日起</w:t>
      </w:r>
      <w:r>
        <w:rPr>
          <w:rFonts w:ascii="Times New Roman" w:hAnsi="Times New Roman" w:eastAsia="仿宋" w:cs="Times New Roman"/>
          <w:spacing w:val="-6"/>
          <w:sz w:val="32"/>
          <w:szCs w:val="32"/>
          <w:u w:val="single"/>
        </w:rPr>
        <w:t>7个工作</w:t>
      </w:r>
      <w:r>
        <w:rPr>
          <w:rFonts w:ascii="Times New Roman" w:hAnsi="Times New Roman" w:eastAsia="仿宋_GB2312" w:cs="Times New Roman"/>
          <w:spacing w:val="-6"/>
          <w:sz w:val="32"/>
          <w:szCs w:val="32"/>
          <w:u w:val="single"/>
        </w:rPr>
        <w:t>日</w:t>
      </w:r>
      <w:r>
        <w:rPr>
          <w:rFonts w:ascii="Times New Roman" w:hAnsi="Times New Roman" w:eastAsia="仿宋_GB2312" w:cs="Times New Roman"/>
          <w:spacing w:val="-6"/>
          <w:sz w:val="32"/>
          <w:szCs w:val="32"/>
        </w:rPr>
        <w:t>内，缴清采矿权出让收益人民币大写</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（小写：￥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2、按以下时间和金额分</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期向出让方支付采矿权出让收益：</w:t>
      </w:r>
    </w:p>
    <w:p>
      <w:pPr>
        <w:pStyle w:val="2"/>
        <w:spacing w:line="440" w:lineRule="exact"/>
        <w:ind w:firstLine="608"/>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自本合同签订之日起</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日内，</w:t>
      </w:r>
      <w:r>
        <w:rPr>
          <w:rFonts w:ascii="Times New Roman" w:hAnsi="Times New Roman" w:eastAsia="仿宋_GB2312" w:cs="Times New Roman"/>
          <w:sz w:val="32"/>
          <w:szCs w:val="32"/>
        </w:rPr>
        <w:t>首次缴纳采矿权出让收益人民币大写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（小写￥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万元）。</w:t>
      </w:r>
    </w:p>
    <w:p>
      <w:pPr>
        <w:pStyle w:val="2"/>
        <w:keepNext w:val="0"/>
        <w:keepLines w:val="0"/>
        <w:pageBreakBefore w:val="0"/>
        <w:widowControl w:val="0"/>
        <w:kinsoku/>
        <w:wordWrap/>
        <w:overflowPunct/>
        <w:topLinePunct w:val="0"/>
        <w:autoSpaceDE/>
        <w:autoSpaceDN/>
        <w:bidi w:val="0"/>
        <w:adjustRightInd/>
        <w:snapToGrid/>
        <w:spacing w:line="520" w:lineRule="exact"/>
        <w:ind w:firstLine="329" w:firstLineChars="107"/>
        <w:textAlignment w:val="auto"/>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于</w:t>
      </w:r>
      <w:r>
        <w:rPr>
          <w:rFonts w:hint="eastAsia" w:ascii="仿宋_GB2312" w:hAnsi="仿宋_GB2312" w:eastAsia="仿宋_GB2312" w:cs="仿宋_GB2312"/>
          <w:color w:val="000000"/>
          <w:sz w:val="32"/>
          <w:szCs w:val="32"/>
          <w:u w:val="single"/>
        </w:rPr>
        <w:t xml:space="preserve"> 202</w:t>
      </w:r>
      <w:r>
        <w:rPr>
          <w:rFonts w:hint="eastAsia" w:ascii="仿宋_GB2312" w:hAnsi="仿宋_GB2312" w:eastAsia="仿宋_GB2312" w:cs="仿宋_GB2312"/>
          <w:color w:val="000000"/>
          <w:sz w:val="32"/>
          <w:szCs w:val="32"/>
          <w:u w:val="single"/>
          <w:lang w:val="en-US" w:eastAsia="zh-CN"/>
        </w:rPr>
        <w:t>2</w:t>
      </w:r>
      <w:r>
        <w:rPr>
          <w:rFonts w:hint="eastAsia" w:ascii="仿宋_GB2312" w:hAnsi="仿宋_GB2312" w:eastAsia="仿宋_GB2312" w:cs="仿宋_GB2312"/>
          <w:color w:val="000000"/>
          <w:spacing w:val="-6"/>
          <w:sz w:val="32"/>
          <w:szCs w:val="32"/>
        </w:rPr>
        <w:t>年</w:t>
      </w:r>
      <w:r>
        <w:rPr>
          <w:rFonts w:hint="eastAsia" w:ascii="仿宋_GB2312" w:hAnsi="仿宋_GB2312" w:eastAsia="仿宋_GB2312" w:cs="仿宋_GB2312"/>
          <w:color w:val="000000"/>
          <w:spacing w:val="-6"/>
          <w:sz w:val="32"/>
          <w:szCs w:val="32"/>
          <w:u w:val="single"/>
        </w:rPr>
        <w:t xml:space="preserve">   </w:t>
      </w:r>
      <w:r>
        <w:rPr>
          <w:rFonts w:hint="eastAsia" w:ascii="仿宋_GB2312" w:hAnsi="仿宋_GB2312" w:eastAsia="仿宋_GB2312" w:cs="仿宋_GB2312"/>
          <w:color w:val="000000"/>
          <w:spacing w:val="-6"/>
          <w:sz w:val="32"/>
          <w:szCs w:val="32"/>
        </w:rPr>
        <w:t>月</w:t>
      </w:r>
      <w:r>
        <w:rPr>
          <w:rFonts w:hint="eastAsia" w:ascii="仿宋_GB2312" w:hAnsi="仿宋_GB2312" w:eastAsia="仿宋_GB2312" w:cs="仿宋_GB2312"/>
          <w:color w:val="000000"/>
          <w:spacing w:val="-6"/>
          <w:sz w:val="32"/>
          <w:szCs w:val="32"/>
          <w:u w:val="single"/>
        </w:rPr>
        <w:t xml:space="preserve">   </w:t>
      </w:r>
      <w:r>
        <w:rPr>
          <w:rFonts w:hint="eastAsia" w:ascii="仿宋_GB2312" w:hAnsi="仿宋_GB2312" w:eastAsia="仿宋_GB2312" w:cs="仿宋_GB2312"/>
          <w:color w:val="000000"/>
          <w:spacing w:val="-6"/>
          <w:sz w:val="32"/>
          <w:szCs w:val="32"/>
        </w:rPr>
        <w:t>日前，第二次缴纳采矿权</w:t>
      </w:r>
      <w:r>
        <w:rPr>
          <w:rFonts w:hint="eastAsia" w:ascii="仿宋_GB2312" w:hAnsi="仿宋_GB2312" w:eastAsia="仿宋_GB2312" w:cs="仿宋_GB2312"/>
          <w:color w:val="000000"/>
          <w:sz w:val="32"/>
          <w:szCs w:val="32"/>
        </w:rPr>
        <w:t>出让收益</w:t>
      </w:r>
      <w:r>
        <w:rPr>
          <w:rFonts w:hint="eastAsia" w:ascii="仿宋_GB2312" w:hAnsi="仿宋_GB2312" w:eastAsia="仿宋_GB2312" w:cs="仿宋_GB2312"/>
          <w:color w:val="000000"/>
          <w:spacing w:val="-6"/>
          <w:sz w:val="32"/>
          <w:szCs w:val="32"/>
        </w:rPr>
        <w:t>人民币大写</w:t>
      </w:r>
      <w:r>
        <w:rPr>
          <w:rFonts w:hint="eastAsia" w:ascii="仿宋_GB2312" w:hAnsi="仿宋_GB2312" w:eastAsia="仿宋_GB2312" w:cs="仿宋_GB2312"/>
          <w:color w:val="000000"/>
          <w:spacing w:val="-6"/>
          <w:sz w:val="32"/>
          <w:szCs w:val="32"/>
          <w:u w:val="single"/>
        </w:rPr>
        <w:t xml:space="preserve">         </w:t>
      </w:r>
      <w:r>
        <w:rPr>
          <w:rFonts w:hint="eastAsia" w:ascii="仿宋_GB2312" w:hAnsi="仿宋_GB2312" w:eastAsia="仿宋_GB2312" w:cs="仿宋_GB2312"/>
          <w:color w:val="000000"/>
          <w:spacing w:val="-6"/>
          <w:sz w:val="32"/>
          <w:szCs w:val="32"/>
        </w:rPr>
        <w:t>整（小写</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u w:val="none"/>
        </w:rPr>
        <w:t>万</w:t>
      </w:r>
      <w:r>
        <w:rPr>
          <w:rFonts w:hint="eastAsia" w:ascii="仿宋_GB2312" w:hAnsi="仿宋_GB2312" w:eastAsia="仿宋_GB2312" w:cs="仿宋_GB2312"/>
          <w:color w:val="000000"/>
          <w:spacing w:val="-6"/>
          <w:sz w:val="32"/>
          <w:szCs w:val="32"/>
        </w:rPr>
        <w:t>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第七条  </w:t>
      </w:r>
      <w:r>
        <w:rPr>
          <w:rFonts w:ascii="Times New Roman" w:hAnsi="Times New Roman" w:eastAsia="仿宋_GB2312" w:cs="Times New Roman"/>
          <w:spacing w:val="-6"/>
          <w:sz w:val="32"/>
          <w:szCs w:val="32"/>
        </w:rPr>
        <w:t>受让方应在本合同签订之日起6个月内持本合同、采矿权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支付凭证及法律法规规定的要件资料，按规定向出让方申请办理采矿权登记；出让方应在受理采矿登记申请之日起40日内，依法办理采矿权登记，颁发采矿许可证。</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受让方未领取采矿许可证，不得开采受让矿区范围内的矿产资源。</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第八条  </w:t>
      </w:r>
      <w:r>
        <w:rPr>
          <w:rFonts w:ascii="Times New Roman" w:hAnsi="Times New Roman" w:eastAsia="仿宋_GB2312"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第九条  </w:t>
      </w:r>
      <w:r>
        <w:rPr>
          <w:rFonts w:ascii="Times New Roman" w:hAnsi="Times New Roman" w:eastAsia="仿宋_GB2312" w:cs="Times New Roman"/>
          <w:spacing w:val="-6"/>
          <w:sz w:val="32"/>
          <w:szCs w:val="32"/>
        </w:rPr>
        <w:t>受让方应按照《绿色矿山建设实施方案》确定的建设内容和建设时序，开展绿色矿山建设，矿山企业投产时，同步建成绿色矿山并通过绿色矿山第三方评估</w:t>
      </w:r>
      <w:r>
        <w:rPr>
          <w:rFonts w:hint="eastAsia" w:ascii="Times New Roman" w:hAnsi="Times New Roman" w:eastAsia="仿宋_GB2312" w:cs="Times New Roman"/>
          <w:spacing w:val="-6"/>
          <w:sz w:val="32"/>
          <w:szCs w:val="32"/>
        </w:rPr>
        <w:t>。</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适用于新建矿山</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受让方应按照《绿色矿山建设实施方案》确定的建设内容和建设时序，开展绿色矿山建设，</w:t>
      </w:r>
      <w:r>
        <w:rPr>
          <w:rFonts w:hint="eastAsia" w:ascii="Times New Roman" w:hAnsi="Times New Roman" w:eastAsia="仿宋_GB2312" w:cs="Times New Roman"/>
          <w:spacing w:val="-6"/>
          <w:sz w:val="32"/>
          <w:szCs w:val="32"/>
        </w:rPr>
        <w:t>于</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ascii="Times New Roman" w:hAnsi="Times New Roman" w:eastAsia="仿宋_GB2312" w:cs="Times New Roman"/>
          <w:spacing w:val="-6"/>
          <w:sz w:val="32"/>
          <w:szCs w:val="32"/>
        </w:rPr>
        <w:t>前建成绿色矿山并通过绿色矿山第三方评估。（</w:t>
      </w:r>
      <w:r>
        <w:rPr>
          <w:rFonts w:hint="eastAsia" w:ascii="Times New Roman" w:hAnsi="Times New Roman" w:eastAsia="仿宋_GB2312" w:cs="Times New Roman"/>
          <w:spacing w:val="-6"/>
          <w:sz w:val="32"/>
          <w:szCs w:val="32"/>
        </w:rPr>
        <w:t>适用于已建矿山</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第十条  </w:t>
      </w:r>
      <w:r>
        <w:rPr>
          <w:rFonts w:ascii="Times New Roman" w:hAnsi="Times New Roman" w:eastAsia="仿宋_GB2312" w:cs="Times New Roman"/>
          <w:spacing w:val="-6"/>
          <w:sz w:val="32"/>
          <w:szCs w:val="32"/>
        </w:rPr>
        <w:t>受让方取得采矿许可证、投入采矿生产满一年后，可以将本合同约定的采矿权依法进行转让；如需将该宗采矿权进行抵押的，应按照本合同约定缴清全部采矿权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受让方经依法批准转让采矿权的，本合同和登记文件中载明的权利义务随之转移，并仍然有效。</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第十一条 </w:t>
      </w:r>
      <w:r>
        <w:rPr>
          <w:rFonts w:ascii="Times New Roman" w:hAnsi="Times New Roman" w:eastAsia="仿宋_GB2312" w:cs="Times New Roman"/>
          <w:spacing w:val="-6"/>
          <w:sz w:val="32"/>
          <w:szCs w:val="32"/>
        </w:rPr>
        <w:t xml:space="preserve"> 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第十二条</w:t>
      </w:r>
      <w:r>
        <w:rPr>
          <w:rFonts w:ascii="Times New Roman" w:hAnsi="Times New Roman" w:eastAsia="仿宋_GB2312" w:cs="Times New Roman"/>
          <w:spacing w:val="-6"/>
          <w:sz w:val="32"/>
          <w:szCs w:val="32"/>
        </w:rPr>
        <w:t xml:space="preserve">  在采矿权出让年限内，受让方需要变更矿区范围、变更开采矿种的，必须依法办理有关批准手续，重新签订采矿权出让合同。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第十三条</w:t>
      </w:r>
      <w:r>
        <w:rPr>
          <w:rFonts w:ascii="Times New Roman" w:hAnsi="Times New Roman" w:eastAsia="仿宋_GB2312" w:cs="Times New Roman"/>
          <w:spacing w:val="-6"/>
          <w:sz w:val="32"/>
          <w:szCs w:val="32"/>
        </w:rPr>
        <w:t xml:space="preserve">  在本合同约定的采矿权出让年限届满前，除本合同约定可以收回采矿权情况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第十四条</w:t>
      </w:r>
      <w:r>
        <w:rPr>
          <w:rFonts w:ascii="Times New Roman" w:hAnsi="Times New Roman" w:eastAsia="仿宋_GB2312" w:cs="Times New Roman"/>
          <w:spacing w:val="-6"/>
          <w:sz w:val="32"/>
          <w:szCs w:val="32"/>
        </w:rPr>
        <w:t xml:space="preserve">  在采矿权出让年限内，国家和重庆市政府有新的规定时，按新规定执行。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受让方在采矿许可证有效期内停办、关闭矿山的，应当自决定停办或者关闭矿山之日起30日内，向出让方申请办理采矿许可证注销登记手续，采矿权无偿收归国有。</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第十五条</w:t>
      </w:r>
      <w:r>
        <w:rPr>
          <w:rFonts w:ascii="Times New Roman" w:hAnsi="Times New Roman" w:eastAsia="仿宋_GB2312" w:cs="Times New Roman"/>
          <w:spacing w:val="-6"/>
          <w:sz w:val="32"/>
          <w:szCs w:val="32"/>
        </w:rPr>
        <w:t xml:space="preserve">  受让方不能按本合同约定按时支付采矿权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的，每日按滞纳金额的2‰向出让方缴纳滞纳金。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延期缴纳采矿权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超过6个月的，出让方有权解除合同、收回采矿权、撤销采矿许可证，不退还受让方已缴纳的采矿权出让收益，并依法追缴受让方欠缴的采矿权出让收益。双方另有约定除外。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第十六条</w:t>
      </w:r>
      <w:r>
        <w:rPr>
          <w:rFonts w:ascii="Times New Roman" w:hAnsi="Times New Roman" w:eastAsia="仿宋_GB2312" w:cs="Times New Roman"/>
          <w:spacing w:val="-6"/>
          <w:sz w:val="32"/>
          <w:szCs w:val="32"/>
        </w:rPr>
        <w:t xml:space="preserve">  受让方未在本合同约定时间内，按照法律法规规定的要件资料申请采矿登记的，出让方有权解除合同，不退还受让方已缴纳的采矿权出让收益。双方另有约定的除外。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出让方未按本合同约定按时颁发采矿许可证的，应自延期颁发采矿许可证之日起6个月内，按照受让方已支付的采矿权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的2‰按日向受让方支付违约金。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延期颁发采矿许可证超过6个月，受让方有权解除合同，出让方应返还受让方已缴纳的采矿权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第十七条</w:t>
      </w:r>
      <w:r>
        <w:rPr>
          <w:rFonts w:ascii="Times New Roman" w:hAnsi="Times New Roman" w:eastAsia="仿宋_GB2312" w:cs="Times New Roman"/>
          <w:spacing w:val="-6"/>
          <w:sz w:val="32"/>
          <w:szCs w:val="32"/>
        </w:rPr>
        <w:t xml:space="preserve">  受让方应当自领取采矿许可证之日起一年内进行建设或生产。逾期未进行建设和生产的，出让方可以依法无偿收回采矿权。</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第十八条</w:t>
      </w:r>
      <w:r>
        <w:rPr>
          <w:rFonts w:ascii="Times New Roman" w:hAnsi="Times New Roman" w:eastAsia="仿宋_GB2312" w:cs="Times New Roman"/>
          <w:spacing w:val="-6"/>
          <w:sz w:val="32"/>
          <w:szCs w:val="32"/>
        </w:rPr>
        <w:t xml:space="preserve">  受让方超越批准的矿区范围采矿的，出让方可以不批准延续、变更采矿许可证。 </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第十九条 </w:t>
      </w:r>
      <w:r>
        <w:rPr>
          <w:rFonts w:ascii="Times New Roman" w:hAnsi="Times New Roman" w:eastAsia="仿宋_GB2312" w:cs="Times New Roman"/>
          <w:spacing w:val="-6"/>
          <w:sz w:val="32"/>
          <w:szCs w:val="32"/>
        </w:rPr>
        <w:t xml:space="preserve"> 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第二十条</w:t>
      </w:r>
      <w:r>
        <w:rPr>
          <w:rFonts w:ascii="Times New Roman" w:hAnsi="Times New Roman" w:eastAsia="仿宋_GB2312" w:cs="Times New Roman"/>
          <w:spacing w:val="-6"/>
          <w:sz w:val="32"/>
          <w:szCs w:val="32"/>
        </w:rPr>
        <w:t xml:space="preserve">  受让方完全理解并接受出让方只是许可受让方开采矿产品，因地质和开采条件等多种原因，出让方不能保证受让方开采得到出让合同记载的矿产资源量。</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由于地质情况的复杂性和勘查工作的局限性，划定矿区范围内的占用储量与实际情况有可能不相符合。受让方完全了解此种风险，并自愿承担该风险。</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第二十一条</w:t>
      </w:r>
      <w:r>
        <w:rPr>
          <w:rFonts w:ascii="Times New Roman" w:hAnsi="Times New Roman" w:eastAsia="仿宋_GB2312" w:cs="Times New Roman"/>
          <w:spacing w:val="-6"/>
          <w:sz w:val="32"/>
          <w:szCs w:val="32"/>
        </w:rPr>
        <w:t xml:space="preserve">  任何一方对由于不可抗力造成的部分或全部不能履行本合同不负责任，但应在条件允许下采取一切必要的补救措施以减少因不可抗力造成的损失。</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第二十二条</w:t>
      </w:r>
      <w:r>
        <w:rPr>
          <w:rFonts w:ascii="Times New Roman" w:hAnsi="Times New Roman" w:eastAsia="仿宋_GB2312" w:cs="Times New Roman"/>
          <w:spacing w:val="-6"/>
          <w:sz w:val="32"/>
          <w:szCs w:val="32"/>
        </w:rPr>
        <w:t xml:space="preserve">  本合同双方当事人同意，就因一方违约而提起的任何诉讼而发出的传票和通知，只要发送至本合同中所填写的通讯地址，即视为送达。上述地址的变更非经提前通知对方，对对方不生效。</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第二十三条</w:t>
      </w:r>
      <w:r>
        <w:rPr>
          <w:rFonts w:ascii="Times New Roman" w:hAnsi="Times New Roman" w:eastAsia="仿宋_GB2312" w:cs="Times New Roman"/>
          <w:spacing w:val="-6"/>
          <w:sz w:val="32"/>
          <w:szCs w:val="32"/>
        </w:rPr>
        <w:t xml:space="preserve">  本合同未尽事宜，从其法律、法规规定，也可由双方签订补充协议作为合同附件，与本合同具有同等法律效力。</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第二十四条 </w:t>
      </w:r>
      <w:r>
        <w:rPr>
          <w:rFonts w:ascii="Times New Roman" w:hAnsi="Times New Roman" w:eastAsia="仿宋_GB2312" w:cs="Times New Roman"/>
          <w:spacing w:val="-6"/>
          <w:sz w:val="32"/>
          <w:szCs w:val="32"/>
        </w:rPr>
        <w:t xml:space="preserve"> 因履行本合同发生争议，由争议双方协商解决，协商不成的，向出让方所在地人民法院起诉。</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第二十五条 </w:t>
      </w:r>
      <w:r>
        <w:rPr>
          <w:rFonts w:ascii="Times New Roman" w:hAnsi="Times New Roman" w:eastAsia="仿宋_GB2312" w:cs="Times New Roman"/>
          <w:spacing w:val="-6"/>
          <w:sz w:val="32"/>
          <w:szCs w:val="32"/>
        </w:rPr>
        <w:t xml:space="preserve"> 本合同经双方法定代表人或其授权委托代理人签字（章）后生效。</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第二十六条 </w:t>
      </w:r>
      <w:r>
        <w:rPr>
          <w:rFonts w:ascii="Times New Roman" w:hAnsi="Times New Roman" w:eastAsia="仿宋_GB2312" w:cs="Times New Roman"/>
          <w:spacing w:val="-6"/>
          <w:sz w:val="32"/>
          <w:szCs w:val="32"/>
        </w:rPr>
        <w:t xml:space="preserve"> 本合同采用汉字书写，一式陆份，具有同等法律效力，双方各执叁份。</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第二十七条</w:t>
      </w:r>
      <w:r>
        <w:rPr>
          <w:rFonts w:ascii="Times New Roman" w:hAnsi="Times New Roman" w:eastAsia="仿宋_GB2312" w:cs="Times New Roman"/>
          <w:spacing w:val="-6"/>
          <w:sz w:val="32"/>
          <w:szCs w:val="32"/>
        </w:rPr>
        <w:t xml:space="preserve">  本合同于</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年</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月</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日在</w:t>
      </w:r>
      <w:r>
        <w:rPr>
          <w:rFonts w:ascii="Times New Roman" w:hAnsi="Times New Roman" w:eastAsia="仿宋_GB2312" w:cs="Times New Roman"/>
          <w:spacing w:val="-6"/>
          <w:sz w:val="32"/>
          <w:szCs w:val="32"/>
          <w:u w:val="none"/>
        </w:rPr>
        <w:t>重庆市</w:t>
      </w:r>
      <w:r>
        <w:rPr>
          <w:rFonts w:hint="eastAsia" w:ascii="Times New Roman" w:hAnsi="Times New Roman" w:eastAsia="仿宋_GB2312" w:cs="Times New Roman"/>
          <w:spacing w:val="-6"/>
          <w:sz w:val="32"/>
          <w:szCs w:val="32"/>
          <w:u w:val="none"/>
          <w:lang w:val="en-US" w:eastAsia="zh-CN"/>
        </w:rPr>
        <w:t>巫溪县</w:t>
      </w:r>
      <w:r>
        <w:rPr>
          <w:rFonts w:ascii="Times New Roman" w:hAnsi="Times New Roman" w:eastAsia="仿宋_GB2312" w:cs="Times New Roman"/>
          <w:spacing w:val="-6"/>
          <w:sz w:val="32"/>
          <w:szCs w:val="32"/>
        </w:rPr>
        <w:t>规划和自然资源局签订。</w:t>
      </w:r>
    </w:p>
    <w:p>
      <w:pPr>
        <w:spacing w:line="520" w:lineRule="exact"/>
        <w:ind w:firstLine="608"/>
        <w:rPr>
          <w:rFonts w:ascii="Times New Roman" w:hAnsi="Times New Roman" w:eastAsia="仿宋_GB2312" w:cs="Times New Roman"/>
          <w:b/>
          <w:spacing w:val="-6"/>
          <w:sz w:val="32"/>
          <w:szCs w:val="32"/>
        </w:rPr>
      </w:pPr>
    </w:p>
    <w:p>
      <w:pPr>
        <w:spacing w:line="520" w:lineRule="exact"/>
        <w:ind w:firstLine="608"/>
        <w:jc w:val="center"/>
        <w:rPr>
          <w:rFonts w:ascii="Times New Roman" w:hAnsi="Times New Roman" w:eastAsia="仿宋_GB2312" w:cs="Times New Roman"/>
          <w:b/>
          <w:spacing w:val="-6"/>
          <w:sz w:val="32"/>
          <w:szCs w:val="32"/>
        </w:rPr>
      </w:pPr>
      <w:r>
        <w:rPr>
          <w:rFonts w:hint="eastAsia" w:ascii="Times New Roman" w:hAnsi="Times New Roman" w:eastAsia="仿宋_GB2312" w:cs="Times New Roman"/>
          <w:b/>
          <w:spacing w:val="-6"/>
          <w:sz w:val="32"/>
          <w:szCs w:val="32"/>
        </w:rPr>
        <w:t>补充条款</w:t>
      </w:r>
    </w:p>
    <w:p>
      <w:pPr>
        <w:spacing w:line="520" w:lineRule="exact"/>
        <w:ind w:firstLine="608"/>
        <w:rPr>
          <w:rFonts w:ascii="Times New Roman" w:hAnsi="Times New Roman" w:eastAsia="仿宋_GB2312" w:cs="Times New Roman"/>
          <w:b/>
          <w:spacing w:val="-6"/>
          <w:sz w:val="32"/>
          <w:szCs w:val="32"/>
        </w:rPr>
      </w:pPr>
    </w:p>
    <w:p>
      <w:pPr>
        <w:spacing w:line="520" w:lineRule="exact"/>
        <w:ind w:firstLine="608"/>
        <w:rPr>
          <w:rFonts w:ascii="Times New Roman" w:hAnsi="Times New Roman" w:eastAsia="仿宋_GB2312" w:cs="Times New Roman"/>
          <w:b/>
          <w:spacing w:val="-6"/>
          <w:sz w:val="32"/>
          <w:szCs w:val="32"/>
        </w:rPr>
      </w:pPr>
      <w:r>
        <w:rPr>
          <w:rFonts w:hint="eastAsia" w:ascii="Times New Roman" w:hAnsi="Times New Roman" w:eastAsia="仿宋_GB2312" w:cs="Times New Roman"/>
          <w:b/>
          <w:spacing w:val="-6"/>
          <w:sz w:val="32"/>
          <w:szCs w:val="32"/>
        </w:rPr>
        <w:t xml:space="preserve">第一条 </w:t>
      </w:r>
      <w:r>
        <w:rPr>
          <w:rFonts w:ascii="Times New Roman" w:hAnsi="Times New Roman" w:eastAsia="仿宋_GB2312" w:cs="Times New Roman"/>
          <w:b/>
          <w:spacing w:val="-6"/>
          <w:sz w:val="32"/>
          <w:szCs w:val="32"/>
        </w:rPr>
        <w:t xml:space="preserve"> </w:t>
      </w:r>
    </w:p>
    <w:p>
      <w:pPr>
        <w:spacing w:line="520" w:lineRule="exact"/>
        <w:rPr>
          <w:rFonts w:ascii="Times New Roman" w:hAnsi="Times New Roman" w:eastAsia="仿宋_GB2312" w:cs="Times New Roman"/>
          <w:b/>
          <w:spacing w:val="-6"/>
          <w:sz w:val="32"/>
          <w:szCs w:val="32"/>
        </w:rPr>
      </w:pP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出让方（章）：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受让方（章）：</w:t>
      </w:r>
    </w:p>
    <w:p>
      <w:pPr>
        <w:spacing w:line="520" w:lineRule="exact"/>
        <w:rPr>
          <w:rFonts w:ascii="Times New Roman" w:hAnsi="Times New Roman" w:eastAsia="仿宋_GB2312" w:cs="Times New Roman"/>
          <w:spacing w:val="-20"/>
          <w:sz w:val="32"/>
          <w:szCs w:val="32"/>
        </w:rPr>
      </w:pPr>
      <w:r>
        <w:rPr>
          <w:rFonts w:hint="eastAsia" w:ascii="Times New Roman" w:hAnsi="Times New Roman" w:eastAsia="仿宋_GB2312" w:cs="Times New Roman"/>
          <w:spacing w:val="-6"/>
          <w:sz w:val="32"/>
          <w:szCs w:val="32"/>
          <w:u w:val="none"/>
          <w:lang w:val="en-US" w:eastAsia="zh-CN"/>
        </w:rPr>
        <w:t>巫溪县</w:t>
      </w:r>
      <w:r>
        <w:rPr>
          <w:rFonts w:ascii="Times New Roman" w:hAnsi="Times New Roman" w:eastAsia="仿宋_GB2312" w:cs="Times New Roman"/>
          <w:spacing w:val="-6"/>
          <w:sz w:val="32"/>
          <w:szCs w:val="32"/>
        </w:rPr>
        <w:t xml:space="preserve">规划和自然资源局       </w:t>
      </w: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法定代表人（委托代理人）：         法定代表人（委托代理人）</w:t>
      </w: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（签章）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 xml:space="preserve">（签章）  </w:t>
      </w:r>
      <w:r>
        <w:rPr>
          <w:rFonts w:ascii="Times New Roman" w:hAnsi="Times New Roman" w:eastAsia="仿宋_GB2312" w:cs="Times New Roman"/>
          <w:spacing w:val="-6"/>
          <w:sz w:val="32"/>
          <w:szCs w:val="32"/>
        </w:rPr>
        <w:t xml:space="preserve">                          </w:t>
      </w:r>
    </w:p>
    <w:p>
      <w:pPr>
        <w:spacing w:line="520" w:lineRule="exact"/>
        <w:rPr>
          <w:rFonts w:ascii="Times New Roman" w:hAnsi="Times New Roman" w:eastAsia="仿宋_GB2312" w:cs="Times New Roman"/>
          <w:spacing w:val="-6"/>
          <w:sz w:val="32"/>
          <w:szCs w:val="32"/>
        </w:rPr>
      </w:pP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电    话：</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电    话：</w:t>
      </w:r>
    </w:p>
    <w:p>
      <w:pPr>
        <w:rPr>
          <w:rFonts w:ascii="Times New Roman" w:hAnsi="Times New Roman" w:eastAsia="方正仿宋_GBK" w:cs="Times New Roman"/>
          <w:b/>
          <w:sz w:val="28"/>
          <w:szCs w:val="28"/>
        </w:rPr>
      </w:pPr>
      <w:r>
        <w:rPr>
          <w:rFonts w:ascii="Times New Roman" w:hAnsi="Times New Roman" w:eastAsia="仿宋_GB2312" w:cs="Times New Roman"/>
          <w:b/>
          <w:spacing w:val="-6"/>
          <w:sz w:val="32"/>
          <w:szCs w:val="32"/>
        </w:rPr>
        <w:t>邮政编码：</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邮政编码：</w:t>
      </w:r>
    </w:p>
    <w:sectPr>
      <w:footerReference r:id="rId3" w:type="default"/>
      <w:footerReference r:id="rId4" w:type="even"/>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6</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7278F"/>
    <w:rsid w:val="00072C08"/>
    <w:rsid w:val="000762CB"/>
    <w:rsid w:val="00080264"/>
    <w:rsid w:val="0008363E"/>
    <w:rsid w:val="00086560"/>
    <w:rsid w:val="000902DC"/>
    <w:rsid w:val="00090C4E"/>
    <w:rsid w:val="00092F78"/>
    <w:rsid w:val="00093D5A"/>
    <w:rsid w:val="000961A9"/>
    <w:rsid w:val="000A3395"/>
    <w:rsid w:val="000A5136"/>
    <w:rsid w:val="000A5A0B"/>
    <w:rsid w:val="000A6268"/>
    <w:rsid w:val="000A6807"/>
    <w:rsid w:val="000B2203"/>
    <w:rsid w:val="000B6019"/>
    <w:rsid w:val="000C2269"/>
    <w:rsid w:val="000C2CEA"/>
    <w:rsid w:val="000C4CC1"/>
    <w:rsid w:val="000C6871"/>
    <w:rsid w:val="000D18A4"/>
    <w:rsid w:val="000E0293"/>
    <w:rsid w:val="000E249F"/>
    <w:rsid w:val="000E3BCB"/>
    <w:rsid w:val="000E3C8C"/>
    <w:rsid w:val="000E60E9"/>
    <w:rsid w:val="000F0468"/>
    <w:rsid w:val="000F2654"/>
    <w:rsid w:val="000F6D2A"/>
    <w:rsid w:val="000F7F50"/>
    <w:rsid w:val="001001C2"/>
    <w:rsid w:val="0010095F"/>
    <w:rsid w:val="00102F43"/>
    <w:rsid w:val="001046AA"/>
    <w:rsid w:val="001057FA"/>
    <w:rsid w:val="00105E82"/>
    <w:rsid w:val="00112660"/>
    <w:rsid w:val="00120BFE"/>
    <w:rsid w:val="0012287B"/>
    <w:rsid w:val="00126705"/>
    <w:rsid w:val="00132EF8"/>
    <w:rsid w:val="00135B85"/>
    <w:rsid w:val="00135C8B"/>
    <w:rsid w:val="00137731"/>
    <w:rsid w:val="00145D44"/>
    <w:rsid w:val="00154DE2"/>
    <w:rsid w:val="001555F4"/>
    <w:rsid w:val="001558D4"/>
    <w:rsid w:val="001561A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557EB"/>
    <w:rsid w:val="00273E6C"/>
    <w:rsid w:val="00276707"/>
    <w:rsid w:val="00287FA1"/>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6BD5"/>
    <w:rsid w:val="00300854"/>
    <w:rsid w:val="0030707C"/>
    <w:rsid w:val="00307B31"/>
    <w:rsid w:val="003209F0"/>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C017C"/>
    <w:rsid w:val="006C6898"/>
    <w:rsid w:val="006C6FEC"/>
    <w:rsid w:val="006D5A61"/>
    <w:rsid w:val="006D6094"/>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47A6"/>
    <w:rsid w:val="00735E50"/>
    <w:rsid w:val="00753C6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1621"/>
    <w:rsid w:val="00911CBA"/>
    <w:rsid w:val="009200A5"/>
    <w:rsid w:val="00926ED0"/>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44D"/>
    <w:rsid w:val="00A56C60"/>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62B9"/>
    <w:rsid w:val="00CB6429"/>
    <w:rsid w:val="00CB6596"/>
    <w:rsid w:val="00CC674F"/>
    <w:rsid w:val="00CD0CF5"/>
    <w:rsid w:val="00CD2CDE"/>
    <w:rsid w:val="00CE73F1"/>
    <w:rsid w:val="00D018AD"/>
    <w:rsid w:val="00D02738"/>
    <w:rsid w:val="00D106D8"/>
    <w:rsid w:val="00D11899"/>
    <w:rsid w:val="00D1755C"/>
    <w:rsid w:val="00D22873"/>
    <w:rsid w:val="00D345E2"/>
    <w:rsid w:val="00D37A44"/>
    <w:rsid w:val="00D40D16"/>
    <w:rsid w:val="00D41F21"/>
    <w:rsid w:val="00D43705"/>
    <w:rsid w:val="00D4388C"/>
    <w:rsid w:val="00D50209"/>
    <w:rsid w:val="00D606EE"/>
    <w:rsid w:val="00D61D09"/>
    <w:rsid w:val="00D6314E"/>
    <w:rsid w:val="00D633E0"/>
    <w:rsid w:val="00D705C0"/>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 w:val="11D52138"/>
    <w:rsid w:val="200C4084"/>
    <w:rsid w:val="35186689"/>
    <w:rsid w:val="46EF346A"/>
    <w:rsid w:val="766A720B"/>
    <w:rsid w:val="7E345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Indent 2"/>
    <w:basedOn w:val="1"/>
    <w:uiPriority w:val="0"/>
    <w:pPr>
      <w:spacing w:line="580" w:lineRule="exact"/>
      <w:ind w:firstLine="632" w:firstLineChars="200"/>
    </w:pPr>
  </w:style>
  <w:style w:type="paragraph" w:styleId="3">
    <w:name w:val="Balloon Text"/>
    <w:basedOn w:val="1"/>
    <w:link w:val="16"/>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qFormat/>
    <w:uiPriority w:val="22"/>
    <w:rPr>
      <w:b/>
      <w:bCs/>
    </w:rPr>
  </w:style>
  <w:style w:type="character" w:styleId="10">
    <w:name w:val="page number"/>
    <w:basedOn w:val="8"/>
    <w:uiPriority w:val="0"/>
  </w:style>
  <w:style w:type="character" w:styleId="11">
    <w:name w:val="Hyperlink"/>
    <w:basedOn w:val="8"/>
    <w:unhideWhenUsed/>
    <w:qFormat/>
    <w:uiPriority w:val="99"/>
    <w:rPr>
      <w:color w:val="0563C1" w:themeColor="hyperlink"/>
      <w:u w:val="single"/>
      <w14:textFill>
        <w14:solidFill>
          <w14:schemeClr w14:val="hlink"/>
        </w14:solidFill>
      </w14:textFill>
    </w:rPr>
  </w:style>
  <w:style w:type="character" w:customStyle="1" w:styleId="12">
    <w:name w:val="页眉 字符"/>
    <w:basedOn w:val="8"/>
    <w:link w:val="5"/>
    <w:uiPriority w:val="99"/>
    <w:rPr>
      <w:sz w:val="18"/>
      <w:szCs w:val="18"/>
    </w:rPr>
  </w:style>
  <w:style w:type="character" w:customStyle="1" w:styleId="13">
    <w:name w:val="页脚 字符"/>
    <w:basedOn w:val="8"/>
    <w:link w:val="4"/>
    <w:qFormat/>
    <w:uiPriority w:val="99"/>
    <w:rPr>
      <w:sz w:val="18"/>
      <w:szCs w:val="18"/>
    </w:rPr>
  </w:style>
  <w:style w:type="table" w:customStyle="1" w:styleId="14">
    <w:name w:val="网格型1"/>
    <w:basedOn w:val="6"/>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5">
    <w:name w:val="List Paragraph"/>
    <w:basedOn w:val="1"/>
    <w:qFormat/>
    <w:uiPriority w:val="34"/>
    <w:pPr>
      <w:ind w:firstLine="420" w:firstLineChars="200"/>
    </w:pPr>
  </w:style>
  <w:style w:type="character" w:customStyle="1" w:styleId="16">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利用事务中心</Company>
  <Pages>6</Pages>
  <Words>517</Words>
  <Characters>2951</Characters>
  <Lines>24</Lines>
  <Paragraphs>6</Paragraphs>
  <TotalTime>56</TotalTime>
  <ScaleCrop>false</ScaleCrop>
  <LinksUpToDate>false</LinksUpToDate>
  <CharactersWithSpaces>3462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J-120G</cp:lastModifiedBy>
  <cp:lastPrinted>2021-02-19T08:02:00Z</cp:lastPrinted>
  <dcterms:modified xsi:type="dcterms:W3CDTF">2021-02-23T03:25:01Z</dcterms:modified>
  <cp:revision>670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