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渝矿采出字〔2021〕（石柱）3号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2021年06月08日09时</w:t>
      </w:r>
      <w:r>
        <w:rPr>
          <w:rFonts w:asciiTheme="minorEastAsia" w:hAnsiTheme="minorEastAsia"/>
          <w:sz w:val="24"/>
        </w:rPr>
        <w:t>-</w:t>
      </w:r>
      <w:r>
        <w:rPr>
          <w:rFonts w:hint="eastAsia" w:asciiTheme="minorEastAsia" w:hAnsiTheme="minorEastAsia"/>
          <w:sz w:val="24"/>
        </w:rPr>
        <w:t>2021年07月06日18时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石柱土家族自治县公共资源综合交易中心</w:t>
      </w:r>
      <w:r>
        <w:rPr>
          <w:rFonts w:asciiTheme="minorEastAsia" w:hAnsiTheme="minorEastAsia"/>
          <w:sz w:val="24"/>
        </w:rPr>
        <w:t>索取相关资料并进行报名。地址：</w:t>
      </w:r>
      <w:r>
        <w:rPr>
          <w:rFonts w:hint="eastAsia" w:asciiTheme="minorEastAsia" w:hAnsiTheme="minorEastAsia"/>
          <w:sz w:val="24"/>
        </w:rPr>
        <w:t>石柱县新城区写字楼5楼</w:t>
      </w:r>
      <w:r>
        <w:rPr>
          <w:rFonts w:asciiTheme="minorEastAsia" w:hAnsiTheme="minorEastAsia"/>
          <w:sz w:val="24"/>
        </w:rPr>
        <w:t>，联系电话：</w:t>
      </w:r>
      <w:r>
        <w:rPr>
          <w:rFonts w:hint="eastAsia" w:asciiTheme="minorEastAsia" w:hAnsiTheme="minorEastAsia"/>
          <w:sz w:val="24"/>
        </w:rPr>
        <w:t>023-73377087</w:t>
      </w:r>
      <w:r>
        <w:rPr>
          <w:rFonts w:asciiTheme="minorEastAsia" w:hAnsiTheme="minorEastAsia"/>
          <w:sz w:val="24"/>
        </w:rPr>
        <w:t>，联系人：</w:t>
      </w:r>
      <w:r>
        <w:rPr>
          <w:rFonts w:hint="eastAsia" w:asciiTheme="minorEastAsia" w:hAnsiTheme="minorEastAsia"/>
          <w:sz w:val="24"/>
        </w:rPr>
        <w:t>谭老师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同步发布的网站：重庆市规划和自然资源局网站：http://ghzrzyj.cq.gov.cn、石柱土家族自治县公共资源综合交易中心</w:t>
      </w:r>
      <w:r>
        <w:rPr>
          <w:rFonts w:asciiTheme="minorEastAsia" w:hAnsiTheme="minorEastAsia"/>
          <w:sz w:val="24"/>
        </w:rPr>
        <w:t>网站：</w:t>
      </w:r>
      <w:r>
        <w:rPr>
          <w:rFonts w:hint="eastAsia" w:asciiTheme="minorEastAsia" w:hAnsiTheme="minorEastAsia"/>
          <w:sz w:val="24"/>
        </w:rPr>
        <w:t>https://www.cqggzy.com/shizhuweb/、自然资源部网站：http://www.mnr.gov.cn、石柱土家族自治县人民政府网站:http://cqszx.gov.cn/bm/xghzyj/</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SZGC202103</w:t>
            </w:r>
          </w:p>
        </w:tc>
        <w:tc>
          <w:tcPr>
            <w:tcW w:w="1510" w:type="dxa"/>
            <w:vAlign w:val="center"/>
          </w:tcPr>
          <w:p>
            <w:pPr>
              <w:jc w:val="center"/>
              <w:rPr>
                <w:rFonts w:ascii="Times New Roman" w:hAnsi="Times New Roman"/>
                <w:szCs w:val="21"/>
              </w:rPr>
            </w:pPr>
            <w:r>
              <w:rPr>
                <w:rFonts w:hint="eastAsia" w:ascii="Times New Roman" w:hAnsi="Times New Roman"/>
                <w:szCs w:val="21"/>
              </w:rPr>
              <w:t>石柱县六塘乡高龙村石灰岩矿山采矿权</w:t>
            </w:r>
          </w:p>
        </w:tc>
        <w:tc>
          <w:tcPr>
            <w:tcW w:w="1103" w:type="dxa"/>
            <w:vAlign w:val="center"/>
          </w:tcPr>
          <w:p>
            <w:pPr>
              <w:jc w:val="center"/>
              <w:rPr>
                <w:rFonts w:ascii="Times New Roman" w:hAnsi="Times New Roman"/>
                <w:szCs w:val="21"/>
              </w:rPr>
            </w:pPr>
            <w:r>
              <w:rPr>
                <w:rFonts w:hint="eastAsia" w:ascii="Times New Roman" w:hAnsi="Times New Roman"/>
                <w:szCs w:val="21"/>
              </w:rPr>
              <w:t>石柱县六塘乡高龙村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775.54万吨</w:t>
            </w:r>
          </w:p>
        </w:tc>
        <w:tc>
          <w:tcPr>
            <w:tcW w:w="1343" w:type="dxa"/>
            <w:vAlign w:val="center"/>
          </w:tcPr>
          <w:p>
            <w:pPr>
              <w:jc w:val="center"/>
              <w:rPr>
                <w:rFonts w:ascii="Times New Roman" w:hAnsi="Times New Roman"/>
                <w:szCs w:val="21"/>
              </w:rPr>
            </w:pPr>
            <w:r>
              <w:rPr>
                <w:rFonts w:hint="eastAsia" w:ascii="Times New Roman" w:hAnsi="Times New Roman"/>
                <w:szCs w:val="21"/>
              </w:rPr>
              <w:t>0.1056</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1460米至</w:t>
            </w:r>
            <w:r>
              <w:rPr>
                <w:rFonts w:hint="eastAsia" w:ascii="Times New Roman" w:hAnsi="Times New Roman"/>
                <w:lang w:val="en-US" w:eastAsia="zh-CN"/>
              </w:rPr>
              <w:t>+</w:t>
            </w:r>
            <w:r>
              <w:rPr>
                <w:rFonts w:hint="eastAsia" w:ascii="Times New Roman" w:hAnsi="Times New Roman"/>
              </w:rPr>
              <w:t>1300米</w:t>
            </w:r>
          </w:p>
        </w:tc>
        <w:tc>
          <w:tcPr>
            <w:tcW w:w="1486" w:type="dxa"/>
            <w:vAlign w:val="center"/>
          </w:tcPr>
          <w:p>
            <w:pPr>
              <w:jc w:val="center"/>
              <w:rPr>
                <w:rFonts w:ascii="Times New Roman" w:hAnsi="Times New Roman"/>
                <w:szCs w:val="21"/>
              </w:rPr>
            </w:pPr>
            <w:r>
              <w:rPr>
                <w:rFonts w:hint="eastAsia" w:ascii="Times New Roman" w:hAnsi="Times New Roman"/>
                <w:szCs w:val="21"/>
              </w:rPr>
              <w:t>100万吨</w:t>
            </w:r>
          </w:p>
        </w:tc>
        <w:tc>
          <w:tcPr>
            <w:tcW w:w="851" w:type="dxa"/>
            <w:vAlign w:val="center"/>
          </w:tcPr>
          <w:p>
            <w:pPr>
              <w:jc w:val="center"/>
              <w:rPr>
                <w:rFonts w:ascii="Times New Roman" w:hAnsi="Times New Roman"/>
                <w:szCs w:val="21"/>
              </w:rPr>
            </w:pPr>
            <w:r>
              <w:rPr>
                <w:rFonts w:hint="eastAsia" w:ascii="Times New Roman" w:hAnsi="Times New Roman"/>
                <w:szCs w:val="21"/>
              </w:rPr>
              <w:t>10.3</w:t>
            </w:r>
          </w:p>
        </w:tc>
        <w:tc>
          <w:tcPr>
            <w:tcW w:w="1134" w:type="dxa"/>
            <w:vAlign w:val="center"/>
          </w:tcPr>
          <w:p>
            <w:pPr>
              <w:jc w:val="center"/>
              <w:rPr>
                <w:rFonts w:ascii="Times New Roman" w:hAnsi="Times New Roman"/>
                <w:szCs w:val="21"/>
              </w:rPr>
            </w:pPr>
            <w:r>
              <w:rPr>
                <w:rFonts w:hint="eastAsia" w:ascii="Times New Roman" w:hAnsi="Times New Roman"/>
                <w:szCs w:val="21"/>
              </w:rPr>
              <w:t>1700</w:t>
            </w:r>
          </w:p>
        </w:tc>
        <w:tc>
          <w:tcPr>
            <w:tcW w:w="916" w:type="dxa"/>
            <w:vAlign w:val="center"/>
          </w:tcPr>
          <w:p>
            <w:pPr>
              <w:jc w:val="center"/>
              <w:rPr>
                <w:rFonts w:ascii="Times New Roman" w:hAnsi="Times New Roman"/>
                <w:szCs w:val="21"/>
              </w:rPr>
            </w:pPr>
            <w:r>
              <w:rPr>
                <w:rFonts w:hint="eastAsia" w:ascii="Times New Roman" w:hAnsi="Times New Roman"/>
                <w:szCs w:val="21"/>
              </w:rPr>
              <w:t>1020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一、序号SZGC202103 采矿权出让人：</w:t>
      </w:r>
      <w:r>
        <w:rPr>
          <w:rFonts w:hint="eastAsia" w:asciiTheme="minorEastAsia" w:hAnsiTheme="minorEastAsia"/>
          <w:sz w:val="24"/>
          <w:szCs w:val="24"/>
        </w:rPr>
        <w:t>石柱土家族自治县规划和自然资源局</w:t>
      </w:r>
      <w:r>
        <w:rPr>
          <w:rFonts w:asciiTheme="minorEastAsia" w:hAnsiTheme="minorEastAsia"/>
          <w:sz w:val="24"/>
          <w:szCs w:val="24"/>
        </w:rPr>
        <w:t>，地址：</w:t>
      </w:r>
      <w:r>
        <w:rPr>
          <w:rFonts w:hint="eastAsia" w:cs="宋体" w:asciiTheme="minorEastAsia" w:hAnsiTheme="minorEastAsia"/>
          <w:sz w:val="24"/>
          <w:szCs w:val="24"/>
        </w:rPr>
        <w:t>石柱县万安街道万寿大道100号</w:t>
      </w:r>
      <w:r>
        <w:rPr>
          <w:rFonts w:asciiTheme="minorEastAsia" w:hAnsiTheme="minorEastAsia"/>
          <w:sz w:val="24"/>
          <w:szCs w:val="24"/>
        </w:rPr>
        <w:t>，联系人：</w:t>
      </w:r>
      <w:r>
        <w:rPr>
          <w:rFonts w:hint="eastAsia" w:cs="宋体" w:asciiTheme="minorEastAsia" w:hAnsiTheme="minorEastAsia"/>
          <w:sz w:val="24"/>
          <w:szCs w:val="24"/>
        </w:rPr>
        <w:t>刘老师</w:t>
      </w:r>
      <w:r>
        <w:rPr>
          <w:rFonts w:asciiTheme="minorEastAsia" w:hAnsiTheme="minorEastAsia"/>
          <w:sz w:val="24"/>
          <w:szCs w:val="24"/>
        </w:rPr>
        <w:t>，联系电话：</w:t>
      </w:r>
      <w:r>
        <w:rPr>
          <w:rFonts w:hint="eastAsia" w:asciiTheme="minorEastAsia" w:hAnsiTheme="minorEastAsia"/>
          <w:sz w:val="24"/>
          <w:szCs w:val="24"/>
        </w:rPr>
        <w:t>023-73378499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重庆银行石柱支行</w:t>
      </w:r>
      <w:r>
        <w:rPr>
          <w:rFonts w:asciiTheme="minorEastAsia" w:hAnsiTheme="minorEastAsia"/>
          <w:sz w:val="24"/>
          <w:szCs w:val="24"/>
        </w:rPr>
        <w:t xml:space="preserve"> 帐号：</w:t>
      </w:r>
      <w:r>
        <w:rPr>
          <w:rFonts w:hint="eastAsia" w:asciiTheme="minorEastAsia" w:hAnsiTheme="minorEastAsia"/>
          <w:sz w:val="24"/>
          <w:szCs w:val="24"/>
        </w:rPr>
        <w:t>760101040005460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中国农业银行石柱万寿支行</w:t>
      </w:r>
      <w:r>
        <w:rPr>
          <w:rFonts w:asciiTheme="minorEastAsia" w:hAnsiTheme="minorEastAsia"/>
          <w:sz w:val="24"/>
          <w:szCs w:val="24"/>
        </w:rPr>
        <w:t xml:space="preserve"> 帐号：</w:t>
      </w:r>
      <w:r>
        <w:rPr>
          <w:rFonts w:hint="eastAsia" w:asciiTheme="minorEastAsia" w:hAnsiTheme="minorEastAsia"/>
          <w:sz w:val="24"/>
          <w:szCs w:val="24"/>
        </w:rPr>
        <w:t>31820201040002166</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中国工商银行石柱支行</w:t>
      </w:r>
      <w:r>
        <w:rPr>
          <w:rFonts w:asciiTheme="minorEastAsia" w:hAnsiTheme="minorEastAsia"/>
          <w:sz w:val="24"/>
          <w:szCs w:val="24"/>
        </w:rPr>
        <w:t xml:space="preserve"> 帐号：</w:t>
      </w:r>
      <w:r>
        <w:rPr>
          <w:rFonts w:hint="eastAsia" w:asciiTheme="minorEastAsia" w:hAnsiTheme="minorEastAsia"/>
          <w:sz w:val="24"/>
          <w:szCs w:val="24"/>
        </w:rPr>
        <w:t>3100019329200103180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 xml:space="preserve">石柱土家族自治县公共资源综合交易中心 </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中国建设银行股份有限公司石柱良玉广场支行</w:t>
      </w:r>
      <w:r>
        <w:rPr>
          <w:rFonts w:asciiTheme="minorEastAsia" w:hAnsiTheme="minorEastAsia"/>
          <w:sz w:val="24"/>
          <w:szCs w:val="24"/>
        </w:rPr>
        <w:t xml:space="preserve"> 帐号：</w:t>
      </w:r>
      <w:r>
        <w:rPr>
          <w:rFonts w:hint="eastAsia" w:asciiTheme="minorEastAsia" w:hAnsiTheme="minorEastAsia"/>
          <w:sz w:val="24"/>
          <w:szCs w:val="24"/>
        </w:rPr>
        <w:t>50050120620009345678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石柱土家族自治县公共资源综合交易中心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重庆农村商业银行石柱支行</w:t>
      </w:r>
      <w:r>
        <w:rPr>
          <w:rFonts w:asciiTheme="minorEastAsia" w:hAnsiTheme="minorEastAsia"/>
          <w:sz w:val="24"/>
          <w:szCs w:val="24"/>
        </w:rPr>
        <w:t xml:space="preserve"> 帐号：</w:t>
      </w:r>
      <w:r>
        <w:rPr>
          <w:rFonts w:hint="eastAsia" w:asciiTheme="minorEastAsia" w:hAnsiTheme="minorEastAsia"/>
          <w:sz w:val="24"/>
          <w:szCs w:val="24"/>
        </w:rPr>
        <w:t>4501010120010018239000000</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2021年07月07日09时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石柱土家族自治县公共资源综合交易中心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（三）竞得人若非石柱县范围注册公司，须在石柱县成立全资子公司作为竞得人，且应在参与竞买前资格审查时提交书面承诺，承诺书中应载明新公司的投资方和股权结构。</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石柱土家族自治县规划和自然资源局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石柱土家族自治县公共资源综合交易中心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（一）矿区范围及周边可能存在不可预期风险，竞买申请人报名前须自行前往现场踏勘了解，未进行现场踏勘的，提交申请即视为竞买人对采矿权现状和出让文件已完全认可并自愿承担所有风险；   </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二）本次出让采矿权范围包含已建矿山，不具备独立开采条件，竞得人必须利用已建矿山开采系统，包括场地、设备进行生产。竞买申请人须认真详读竞买须知，矿区范围及周边可能存在不可预期风险，竞买申请人须认真详读竞买须知，竞买申请人报名前须自行前往现场踏勘了解，现场踏勘并详细了解出让范围及周边土地、山权、林权、道路、地下管线、水电供给、废渣占地堆放、地表附着物、社群关系等影响资源开采的外部条件以及资产评估和其他权益补偿情况。未进行现场踏勘的，提交竞买申请即视为竟买人对采矿权现状、公告须知、采矿权出让合同内容、资产评估及其他权益补偿额已完全认可并自愿承担所有风险。 </w:t>
      </w:r>
    </w:p>
    <w:p>
      <w:pPr>
        <w:spacing w:line="360" w:lineRule="exact"/>
        <w:ind w:firstLine="480" w:firstLineChars="200"/>
        <w:rPr>
          <w:rFonts w:hint="eastAsia" w:ascii="Times New Roman" w:hAnsi="Times New Roman"/>
          <w:sz w:val="24"/>
        </w:rPr>
      </w:pPr>
      <w:r>
        <w:rPr>
          <w:rFonts w:hint="eastAsia" w:ascii="Times New Roman" w:hAnsi="Times New Roman"/>
          <w:sz w:val="24"/>
        </w:rPr>
        <w:t>（三）本宗采矿权《出让技术报告》《矿业权评估报告》《资产评估报告》可凭报名相关凭证到石柱县规划和自然资源局查阅。</w:t>
      </w:r>
    </w:p>
    <w:p>
      <w:pPr>
        <w:spacing w:line="360" w:lineRule="exact"/>
        <w:ind w:firstLine="480" w:firstLineChars="200"/>
        <w:rPr>
          <w:rFonts w:hint="eastAsia" w:ascii="Times New Roman" w:hAnsi="Times New Roman"/>
          <w:sz w:val="24"/>
        </w:rPr>
      </w:pPr>
      <w:r>
        <w:rPr>
          <w:rFonts w:hint="eastAsia" w:ascii="Times New Roman" w:hAnsi="Times New Roman"/>
          <w:sz w:val="24"/>
        </w:rPr>
        <w:t>（四）本次出让的仅为采矿权，不含出让范围的土地、山林等其他权利。</w:t>
      </w:r>
    </w:p>
    <w:p>
      <w:pPr>
        <w:spacing w:line="360" w:lineRule="exact"/>
        <w:ind w:firstLine="480" w:firstLineChars="200"/>
        <w:rPr>
          <w:rFonts w:hint="eastAsia" w:ascii="Times New Roman" w:hAnsi="Times New Roman"/>
          <w:sz w:val="24"/>
        </w:rPr>
      </w:pPr>
      <w:r>
        <w:rPr>
          <w:rFonts w:hint="eastAsia" w:ascii="Times New Roman" w:hAnsi="Times New Roman"/>
          <w:sz w:val="24"/>
        </w:rPr>
        <w:t>（五）根据出让前期技术报告等资料，截止2021年3月24日， 拟划矿区范围内保有总控制资源量10835千吨，其中可利用控制资源量10815千吨，边坡控制资源量20千吨。原矿区范围出让控制资源量5773千吨，据矿山历年动态检测和核查报告统计，矿山从2015年4月-2020年12月累计动用控制资源储量2693.4千吨，剩余出让控制资源量3079.6千吨，新增控制资源量7755.4千吨。该矿区范围内原剩余建筑石料用灰岩资源量3079.6千吨（最终以储量核实报告和现场交付的为准）未纳入本次公开出让，成交确认后，原矿权人剩余资源量由竞得人于《重庆市采矿权出让合同》签订前，按本次竞得的单价支付给原采矿权人。</w:t>
      </w:r>
    </w:p>
    <w:p>
      <w:pPr>
        <w:spacing w:line="360" w:lineRule="exact"/>
        <w:ind w:firstLine="480" w:firstLineChars="200"/>
        <w:rPr>
          <w:rFonts w:hint="eastAsia" w:ascii="Times New Roman" w:hAnsi="Times New Roman"/>
          <w:sz w:val="24"/>
        </w:rPr>
      </w:pPr>
      <w:r>
        <w:rPr>
          <w:rFonts w:hint="eastAsia" w:ascii="Times New Roman" w:hAnsi="Times New Roman"/>
          <w:sz w:val="24"/>
        </w:rPr>
        <w:t>（六）本次出让采矿权范围包含已建矿山，过公开出让方式增划资源扩大生产规模，竞买申请人须认真详读出让文件、了解矿山基本情况，新竞得人需要同时对原采矿权人固定资产进行转接。原采矿权人的机器设备、房屋建筑、构筑物及其他辅助设施、土地租赁费用等固定资产投入评估价值详见《评估报告》，竞买申请人除须交纳竞买保证金外，还须足额交纳原采矿权人固定资产价值3800.00万元至固定资产转接保证金账户，未按时到帐的，不予受理竞买报名资格（原采矿权人参与本次竞买，不需缴纳固定资产转接保证金，持县规划自然资源局相关证明材料按竞买要求参与竞买）。</w:t>
      </w:r>
    </w:p>
    <w:p>
      <w:pPr>
        <w:spacing w:line="360" w:lineRule="exact"/>
        <w:ind w:firstLine="480" w:firstLineChars="200"/>
        <w:rPr>
          <w:rFonts w:hint="eastAsia" w:ascii="Times New Roman" w:hAnsi="Times New Roman"/>
          <w:sz w:val="24"/>
        </w:rPr>
      </w:pPr>
      <w:r>
        <w:rPr>
          <w:rFonts w:hint="eastAsia" w:ascii="Times New Roman" w:hAnsi="Times New Roman"/>
          <w:sz w:val="24"/>
        </w:rPr>
        <w:t>
如成功竞得，在签订《重庆市采矿权出让合同》前，新竞得人与原采矿权人需在《采矿权成交确认书》公示完成后30日内完成固定资产移交并形成资产转让协议后，由双方向县规划和自然资源局申请一次性将《评估报告》明确的评估价值3800.00万元（大写：叁仟捌佰万元整）支付给原矿业权人，因原采矿权人资产属国有资产，新竞得人还需按照国有资产管理的相关规定和流程报批固定资产转让后，才能签订采矿权出让合同。相关税费由竞得人自行承担。</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七）竞买申请人应于竞买报名截止时间之前，向石柱土家族自治县规划和自然资源局指定的唯一账户交纳原采矿权人固定资产转接保证金人民币3800.00万元（大写：叁仟捌佰万元整）。竞买申请人交款时间以银行确认的到帐时间为准。竞买申请人交纳原采矿权人固定资产转接保证金到账截止时间为：2021年7月7日09：00时。  </w:t>
      </w:r>
      <w:r>
        <w:rPr>
          <w:rFonts w:hint="eastAsia" w:ascii="Times New Roman" w:hAnsi="Times New Roman"/>
          <w:sz w:val="24"/>
        </w:rPr>
        <w:cr/>
      </w:r>
      <w:r>
        <w:rPr>
          <w:rFonts w:hint="eastAsia" w:ascii="Times New Roman" w:hAnsi="Times New Roman"/>
          <w:sz w:val="24"/>
        </w:rPr>
        <w:t xml:space="preserve">
固定资产转接保证金户名：石柱土家族自治县财政局   </w:t>
      </w:r>
      <w:r>
        <w:rPr>
          <w:rFonts w:hint="eastAsia" w:ascii="Times New Roman" w:hAnsi="Times New Roman"/>
          <w:sz w:val="24"/>
        </w:rPr>
        <w:cr/>
      </w:r>
      <w:r>
        <w:rPr>
          <w:rFonts w:hint="eastAsia" w:ascii="Times New Roman" w:hAnsi="Times New Roman"/>
          <w:sz w:val="24"/>
        </w:rPr>
        <w:t xml:space="preserve">
固定资产转接保证金开户银行：重庆农村商业银行石柱支行  </w:t>
      </w:r>
      <w:r>
        <w:rPr>
          <w:rFonts w:hint="eastAsia" w:ascii="Times New Roman" w:hAnsi="Times New Roman"/>
          <w:sz w:val="24"/>
        </w:rPr>
        <w:cr/>
      </w:r>
      <w:r>
        <w:rPr>
          <w:rFonts w:hint="eastAsia" w:ascii="Times New Roman" w:hAnsi="Times New Roman"/>
          <w:sz w:val="24"/>
        </w:rPr>
        <w:t xml:space="preserve">
固定资产转接保证金账号：4501010120010011341-069001   </w:t>
      </w:r>
      <w:r>
        <w:rPr>
          <w:rFonts w:hint="eastAsia" w:ascii="Times New Roman" w:hAnsi="Times New Roman"/>
          <w:sz w:val="24"/>
        </w:rPr>
        <w:cr/>
      </w:r>
      <w:r>
        <w:rPr>
          <w:rFonts w:hint="eastAsia" w:ascii="Times New Roman" w:hAnsi="Times New Roman"/>
          <w:sz w:val="24"/>
        </w:rPr>
        <w:t xml:space="preserve">
固定资产转接保证金账户只接受银行转账或电汇方式转入，不接受现金或现金汇款。 </w:t>
      </w:r>
      <w:r>
        <w:rPr>
          <w:rFonts w:hint="eastAsia" w:ascii="Times New Roman" w:hAnsi="Times New Roman"/>
          <w:sz w:val="24"/>
        </w:rPr>
        <w:cr/>
      </w:r>
      <w:r>
        <w:rPr>
          <w:rFonts w:hint="eastAsia" w:ascii="Times New Roman" w:hAnsi="Times New Roman"/>
          <w:sz w:val="24"/>
        </w:rPr>
        <w:t>
 温馨提示：为避免因固定资产转接保证金到账时间延误，影响您竞买资格，建议您在固定资产转接保证金到账截止时间的1至2天之前交纳转接保证金。并注名缴规划和自然资源局固定资产转接保证金。</w:t>
      </w:r>
    </w:p>
    <w:p>
      <w:pPr>
        <w:spacing w:line="360" w:lineRule="exact"/>
        <w:ind w:firstLine="480" w:firstLineChars="200"/>
        <w:rPr>
          <w:rFonts w:hint="eastAsia" w:ascii="Times New Roman" w:hAnsi="Times New Roman"/>
          <w:sz w:val="24"/>
        </w:rPr>
      </w:pPr>
      <w:r>
        <w:rPr>
          <w:rFonts w:hint="eastAsia" w:ascii="Times New Roman" w:hAnsi="Times New Roman"/>
          <w:sz w:val="24"/>
        </w:rPr>
        <w:t>（</w:t>
      </w:r>
      <w:r>
        <w:rPr>
          <w:rFonts w:hint="eastAsia" w:ascii="Times New Roman" w:hAnsi="Times New Roman"/>
          <w:sz w:val="24"/>
          <w:lang w:val="en-US" w:eastAsia="zh-CN"/>
        </w:rPr>
        <w:t>八</w:t>
      </w:r>
      <w:r>
        <w:rPr>
          <w:rFonts w:hint="eastAsia" w:ascii="Times New Roman" w:hAnsi="Times New Roman"/>
          <w:sz w:val="24"/>
        </w:rPr>
        <w:t xml:space="preserve">）竞得人竞得该宗采矿权，还需向出让人另外支付该采矿权出让工作成本19.95万元，在签订《重庆市采矿权出让合同》后15个日内一次性支付。   </w:t>
      </w:r>
    </w:p>
    <w:p>
      <w:pPr>
        <w:spacing w:line="360" w:lineRule="exact"/>
        <w:ind w:firstLine="480" w:firstLineChars="200"/>
        <w:rPr>
          <w:rFonts w:hint="eastAsia" w:ascii="Times New Roman" w:hAnsi="Times New Roman"/>
          <w:sz w:val="24"/>
        </w:rPr>
      </w:pPr>
      <w:r>
        <w:rPr>
          <w:rFonts w:hint="eastAsia" w:ascii="Times New Roman" w:hAnsi="Times New Roman"/>
          <w:sz w:val="24"/>
        </w:rPr>
        <w:t>（</w:t>
      </w:r>
      <w:r>
        <w:rPr>
          <w:rFonts w:hint="eastAsia" w:ascii="Times New Roman" w:hAnsi="Times New Roman"/>
          <w:sz w:val="24"/>
          <w:lang w:val="en-US" w:eastAsia="zh-CN"/>
        </w:rPr>
        <w:t>九</w:t>
      </w:r>
      <w:r>
        <w:rPr>
          <w:rFonts w:hint="eastAsia" w:ascii="Times New Roman" w:hAnsi="Times New Roman"/>
          <w:sz w:val="24"/>
        </w:rPr>
        <w:t>）该宗采矿权涉及的资产评估内容和价值，是为解决原采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（十）原则上自采矿许可证发证之日起一年内投产，逾期投产的，除政府原因或者不可抗力外，出让人有权解除出让合同并重新公开出让。  </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（十</w:t>
      </w:r>
      <w:r>
        <w:rPr>
          <w:rFonts w:hint="eastAsia" w:ascii="Times New Roman" w:hAnsi="Times New Roman"/>
          <w:sz w:val="24"/>
          <w:lang w:val="en-US" w:eastAsia="zh-CN"/>
        </w:rPr>
        <w:t>一</w:t>
      </w:r>
      <w:r>
        <w:rPr>
          <w:rFonts w:hint="eastAsia" w:ascii="Times New Roman" w:hAnsi="Times New Roman"/>
          <w:sz w:val="24"/>
        </w:rPr>
        <w:t>）竞得人须自行或委托编制矿山地质环境恢复治理和土地复垦方案并通过审查，同时按照《重庆市矿产资源管理条例》《矿山地质环境保护规定》等有关规定承担相应的矿山生态修复义务。</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bookmarkStart w:id="0" w:name="_GoBack"/>
      <w:bookmarkEnd w:id="0"/>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石柱县六塘乡高龙村石灰岩矿山采矿权采矿权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SZGC202103</w:t>
      </w:r>
    </w:p>
    <w:p>
      <w:pPr>
        <w:spacing w:line="360" w:lineRule="exact"/>
        <w:ind w:firstLine="420" w:firstLineChars="200"/>
        <w:rPr>
          <w:rFonts w:ascii="Times New Roman" w:hAnsi="Times New Roman"/>
          <w:szCs w:val="21"/>
        </w:rPr>
      </w:pPr>
      <w:r>
        <w:rPr>
          <w:rFonts w:hint="eastAsia" w:ascii="Times New Roman" w:hAnsi="Times New Roman"/>
          <w:szCs w:val="21"/>
        </w:rPr>
        <w:t>石柱县六塘乡高龙村石灰岩矿山采矿权</w:t>
      </w:r>
      <w:r>
        <w:rPr>
          <w:rFonts w:ascii="Times New Roman" w:hAnsi="Times New Roman"/>
          <w:szCs w:val="21"/>
        </w:rPr>
        <w:t>采矿权位于</w:t>
      </w:r>
      <w:r>
        <w:rPr>
          <w:rFonts w:hint="eastAsia" w:ascii="Times New Roman" w:hAnsi="Times New Roman"/>
          <w:szCs w:val="21"/>
        </w:rPr>
        <w:t>石柱县六塘乡高龙村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石柱土家族自治县公共资源综合交易中心</w:t>
      </w:r>
      <w:r>
        <w:rPr>
          <w:rFonts w:asciiTheme="minorEastAsia" w:hAnsiTheme="minorEastAsia"/>
          <w:szCs w:val="21"/>
        </w:rPr>
        <w:t>（</w:t>
      </w:r>
      <w:r>
        <w:rPr>
          <w:rFonts w:hint="eastAsia" w:asciiTheme="minorEastAsia" w:hAnsiTheme="minorEastAsia"/>
          <w:szCs w:val="21"/>
        </w:rPr>
        <w:t>https://www.cqggzy.com/shizhuweb/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2021年06月08日09时</w:t>
      </w:r>
      <w:r>
        <w:rPr>
          <w:rFonts w:asciiTheme="minorEastAsia" w:hAnsiTheme="minorEastAsia"/>
          <w:szCs w:val="21"/>
        </w:rPr>
        <w:t>-</w:t>
      </w:r>
      <w:r>
        <w:rPr>
          <w:rFonts w:hint="eastAsia" w:asciiTheme="minorEastAsia" w:hAnsiTheme="minorEastAsia"/>
          <w:szCs w:val="21"/>
        </w:rPr>
        <w:t>2021年07月06日18时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石柱县六塘乡高龙村石灰岩矿山采矿权</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石柱县六塘乡高龙村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1700</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0.1056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1460米至1300米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775.54万吨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100万吨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10.3</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3308849.68</w:t>
            </w:r>
          </w:p>
        </w:tc>
        <w:tc>
          <w:p>
            <w:pPr>
              <w:spacing w:line="360" w:lineRule="exact"/>
              <w:jc w:val="center"/>
              <w:rPr>
                <w:rFonts w:ascii="Times New Roman" w:hAnsi="Times New Roman"/>
                <w:szCs w:val="21"/>
              </w:rPr>
            </w:pPr>
            <w:r>
              <w:rPr>
                <w:rFonts w:hint="eastAsia" w:ascii="Times New Roman" w:hAnsi="Times New Roman"/>
                <w:szCs w:val="21"/>
              </w:rPr>
              <w:t>36525268.35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3308966.96</w:t>
            </w:r>
          </w:p>
        </w:tc>
        <w:tc>
          <w:p>
            <w:pPr>
              <w:spacing w:line="360" w:lineRule="exact"/>
              <w:jc w:val="center"/>
              <w:rPr>
                <w:rFonts w:ascii="Times New Roman" w:hAnsi="Times New Roman"/>
                <w:szCs w:val="21"/>
              </w:rPr>
            </w:pPr>
            <w:r>
              <w:rPr>
                <w:rFonts w:hint="eastAsia" w:ascii="Times New Roman" w:hAnsi="Times New Roman"/>
                <w:szCs w:val="21"/>
              </w:rPr>
              <w:t>36525459.02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3309011.44</w:t>
            </w:r>
          </w:p>
        </w:tc>
        <w:tc>
          <w:p>
            <w:pPr>
              <w:spacing w:line="360" w:lineRule="exact"/>
              <w:jc w:val="center"/>
              <w:rPr>
                <w:rFonts w:ascii="Times New Roman" w:hAnsi="Times New Roman"/>
                <w:szCs w:val="21"/>
              </w:rPr>
            </w:pPr>
            <w:r>
              <w:rPr>
                <w:rFonts w:hint="eastAsia" w:ascii="Times New Roman" w:hAnsi="Times New Roman"/>
                <w:szCs w:val="21"/>
              </w:rPr>
              <w:t>36525465.31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3309085.32</w:t>
            </w:r>
          </w:p>
        </w:tc>
        <w:tc>
          <w:p>
            <w:pPr>
              <w:spacing w:line="360" w:lineRule="exact"/>
              <w:jc w:val="center"/>
              <w:rPr>
                <w:rFonts w:ascii="Times New Roman" w:hAnsi="Times New Roman"/>
                <w:szCs w:val="21"/>
              </w:rPr>
            </w:pPr>
            <w:r>
              <w:rPr>
                <w:rFonts w:hint="eastAsia" w:ascii="Times New Roman" w:hAnsi="Times New Roman"/>
                <w:szCs w:val="21"/>
              </w:rPr>
              <w:t>36525501.21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3309182.14</w:t>
            </w:r>
          </w:p>
        </w:tc>
        <w:tc>
          <w:p>
            <w:pPr>
              <w:spacing w:line="360" w:lineRule="exact"/>
              <w:jc w:val="center"/>
              <w:rPr>
                <w:rFonts w:ascii="Times New Roman" w:hAnsi="Times New Roman"/>
                <w:szCs w:val="21"/>
              </w:rPr>
            </w:pPr>
            <w:r>
              <w:rPr>
                <w:rFonts w:hint="eastAsia" w:ascii="Times New Roman" w:hAnsi="Times New Roman"/>
                <w:szCs w:val="21"/>
              </w:rPr>
              <w:t>36525459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3309274.41</w:t>
            </w:r>
          </w:p>
        </w:tc>
        <w:tc>
          <w:p>
            <w:pPr>
              <w:spacing w:line="360" w:lineRule="exact"/>
              <w:jc w:val="center"/>
              <w:rPr>
                <w:rFonts w:ascii="Times New Roman" w:hAnsi="Times New Roman"/>
                <w:szCs w:val="21"/>
              </w:rPr>
            </w:pPr>
            <w:r>
              <w:rPr>
                <w:rFonts w:hint="eastAsia" w:ascii="Times New Roman" w:hAnsi="Times New Roman"/>
                <w:szCs w:val="21"/>
              </w:rPr>
              <w:t>36525329.41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3309179.9</w:t>
            </w:r>
          </w:p>
        </w:tc>
        <w:tc>
          <w:p>
            <w:pPr>
              <w:spacing w:line="360" w:lineRule="exact"/>
              <w:jc w:val="center"/>
              <w:rPr>
                <w:rFonts w:ascii="Times New Roman" w:hAnsi="Times New Roman"/>
                <w:szCs w:val="21"/>
              </w:rPr>
            </w:pPr>
            <w:r>
              <w:rPr>
                <w:rFonts w:hint="eastAsia" w:ascii="Times New Roman" w:hAnsi="Times New Roman"/>
                <w:szCs w:val="21"/>
              </w:rPr>
              <w:t>36525217.78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3309110</w:t>
            </w:r>
          </w:p>
        </w:tc>
        <w:tc>
          <w:p>
            <w:pPr>
              <w:spacing w:line="360" w:lineRule="exact"/>
              <w:jc w:val="center"/>
              <w:rPr>
                <w:rFonts w:ascii="Times New Roman" w:hAnsi="Times New Roman"/>
                <w:szCs w:val="21"/>
              </w:rPr>
            </w:pPr>
            <w:r>
              <w:rPr>
                <w:rFonts w:hint="eastAsia" w:ascii="Times New Roman" w:hAnsi="Times New Roman"/>
                <w:szCs w:val="21"/>
              </w:rPr>
              <w:t>36525158.99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3309067</w:t>
            </w:r>
          </w:p>
        </w:tc>
        <w:tc>
          <w:p>
            <w:pPr>
              <w:spacing w:line="360" w:lineRule="exact"/>
              <w:jc w:val="center"/>
              <w:rPr>
                <w:rFonts w:ascii="Times New Roman" w:hAnsi="Times New Roman"/>
                <w:szCs w:val="21"/>
              </w:rPr>
            </w:pPr>
            <w:r>
              <w:rPr>
                <w:rFonts w:hint="eastAsia" w:ascii="Times New Roman" w:hAnsi="Times New Roman"/>
                <w:szCs w:val="21"/>
              </w:rPr>
              <w:t>36525130.99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10</w:t>
            </w:r>
          </w:p>
        </w:tc>
        <w:tc>
          <w:tcPr>
            <w:gridSpan w:val="2"/>
          </w:tcPr>
          <w:p>
            <w:pPr>
              <w:spacing w:line="360" w:lineRule="exact"/>
              <w:jc w:val="center"/>
              <w:rPr>
                <w:rFonts w:ascii="Times New Roman" w:hAnsi="Times New Roman"/>
                <w:szCs w:val="21"/>
              </w:rPr>
            </w:pPr>
            <w:r>
              <w:rPr>
                <w:rFonts w:hint="eastAsia" w:ascii="Times New Roman" w:hAnsi="Times New Roman"/>
                <w:szCs w:val="21"/>
              </w:rPr>
              <w:t>3309004.83</w:t>
            </w:r>
          </w:p>
        </w:tc>
        <w:tc>
          <w:p>
            <w:pPr>
              <w:spacing w:line="360" w:lineRule="exact"/>
              <w:jc w:val="center"/>
              <w:rPr>
                <w:rFonts w:ascii="Times New Roman" w:hAnsi="Times New Roman"/>
                <w:szCs w:val="21"/>
              </w:rPr>
            </w:pPr>
            <w:r>
              <w:rPr>
                <w:rFonts w:hint="eastAsia" w:ascii="Times New Roman" w:hAnsi="Times New Roman"/>
                <w:szCs w:val="21"/>
              </w:rPr>
              <w:t>36525114.21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11</w:t>
            </w:r>
          </w:p>
        </w:tc>
        <w:tc>
          <w:tcPr>
            <w:gridSpan w:val="2"/>
          </w:tcPr>
          <w:p>
            <w:pPr>
              <w:spacing w:line="360" w:lineRule="exact"/>
              <w:jc w:val="center"/>
              <w:rPr>
                <w:rFonts w:ascii="Times New Roman" w:hAnsi="Times New Roman"/>
                <w:szCs w:val="21"/>
              </w:rPr>
            </w:pPr>
            <w:r>
              <w:rPr>
                <w:rFonts w:hint="eastAsia" w:ascii="Times New Roman" w:hAnsi="Times New Roman"/>
                <w:szCs w:val="21"/>
              </w:rPr>
              <w:t>3308947.01</w:t>
            </w:r>
          </w:p>
        </w:tc>
        <w:tc>
          <w:p>
            <w:pPr>
              <w:spacing w:line="360" w:lineRule="exact"/>
              <w:jc w:val="center"/>
              <w:rPr>
                <w:rFonts w:ascii="Times New Roman" w:hAnsi="Times New Roman"/>
                <w:szCs w:val="21"/>
              </w:rPr>
            </w:pPr>
            <w:r>
              <w:rPr>
                <w:rFonts w:hint="eastAsia" w:ascii="Times New Roman" w:hAnsi="Times New Roman"/>
                <w:szCs w:val="21"/>
              </w:rPr>
              <w:t>36525104.98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12</w:t>
            </w:r>
          </w:p>
        </w:tc>
        <w:tc>
          <w:tcPr>
            <w:gridSpan w:val="2"/>
          </w:tcPr>
          <w:p>
            <w:pPr>
              <w:spacing w:line="360" w:lineRule="exact"/>
              <w:jc w:val="center"/>
              <w:rPr>
                <w:rFonts w:ascii="Times New Roman" w:hAnsi="Times New Roman"/>
                <w:szCs w:val="21"/>
              </w:rPr>
            </w:pPr>
            <w:r>
              <w:rPr>
                <w:rFonts w:hint="eastAsia" w:ascii="Times New Roman" w:hAnsi="Times New Roman"/>
                <w:szCs w:val="21"/>
              </w:rPr>
              <w:t>3308918.36</w:t>
            </w:r>
          </w:p>
        </w:tc>
        <w:tc>
          <w:p>
            <w:pPr>
              <w:spacing w:line="360" w:lineRule="exact"/>
              <w:jc w:val="center"/>
              <w:rPr>
                <w:rFonts w:ascii="Times New Roman" w:hAnsi="Times New Roman"/>
                <w:szCs w:val="21"/>
              </w:rPr>
            </w:pPr>
            <w:r>
              <w:rPr>
                <w:rFonts w:hint="eastAsia" w:ascii="Times New Roman" w:hAnsi="Times New Roman"/>
                <w:szCs w:val="21"/>
              </w:rPr>
              <w:t>36525128.57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石柱土家族自治县规划和自然资源局</w:t>
      </w:r>
      <w:r>
        <w:rPr>
          <w:rFonts w:asciiTheme="minorEastAsia" w:hAnsiTheme="minorEastAsia"/>
          <w:szCs w:val="21"/>
        </w:rPr>
        <w:t>，采矿权出让承办机构为</w:t>
      </w:r>
      <w:r>
        <w:rPr>
          <w:rFonts w:hint="eastAsia" w:asciiTheme="minorEastAsia" w:hAnsiTheme="minorEastAsia"/>
          <w:szCs w:val="21"/>
        </w:rPr>
        <w:t>石柱土家族自治县公共资源综合交易中心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石柱土家族自治县规划和自然资源局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石柱县万安街道万寿大道100号</w:t>
      </w:r>
      <w:r>
        <w:rPr>
          <w:rFonts w:asciiTheme="minorEastAsia" w:hAnsiTheme="minorEastAsia"/>
          <w:szCs w:val="21"/>
        </w:rPr>
        <w:t>，联系人：</w:t>
      </w:r>
      <w:r>
        <w:rPr>
          <w:rFonts w:hint="eastAsia" w:cs="宋体" w:asciiTheme="minorEastAsia" w:hAnsiTheme="minorEastAsia"/>
          <w:szCs w:val="21"/>
        </w:rPr>
        <w:t>刘老师</w:t>
      </w:r>
      <w:r>
        <w:rPr>
          <w:rFonts w:asciiTheme="minorEastAsia" w:hAnsiTheme="minorEastAsia"/>
          <w:szCs w:val="21"/>
        </w:rPr>
        <w:t>，联系电话：</w:t>
      </w:r>
      <w:r>
        <w:rPr>
          <w:rFonts w:hint="eastAsia" w:asciiTheme="minorEastAsia" w:hAnsiTheme="minorEastAsia"/>
          <w:szCs w:val="21"/>
        </w:rPr>
        <w:t>023-73378499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石柱土家族自治县公共资源综合交易中心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石柱县新城区写字楼5楼</w:t>
      </w:r>
      <w:r>
        <w:rPr>
          <w:rFonts w:asciiTheme="minorEastAsia" w:hAnsiTheme="minorEastAsia"/>
          <w:szCs w:val="21"/>
        </w:rPr>
        <w:t>，联系人：</w:t>
      </w:r>
      <w:r>
        <w:rPr>
          <w:rFonts w:hint="eastAsia" w:asciiTheme="minorEastAsia" w:hAnsiTheme="minorEastAsia"/>
          <w:szCs w:val="21"/>
        </w:rPr>
        <w:t>谭老师</w:t>
      </w:r>
      <w:r>
        <w:rPr>
          <w:rFonts w:asciiTheme="minorEastAsia" w:hAnsiTheme="minorEastAsia"/>
          <w:szCs w:val="21"/>
        </w:rPr>
        <w:t>，联系电话：</w:t>
      </w:r>
      <w:r>
        <w:rPr>
          <w:rFonts w:hint="eastAsia" w:asciiTheme="minorEastAsia" w:hAnsiTheme="minorEastAsia"/>
          <w:szCs w:val="21"/>
        </w:rPr>
        <w:t>023-73377087</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（三）竞得人若非石柱县范围注册公司，须在石柱县成立全资子公司作为竞得人，且应在参与竞买前资格审查时提交书面承诺，承诺书中应载明新公司的投资方和股权结构。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2021年07月07日09时30分</w:t>
      </w:r>
      <w:r>
        <w:rPr>
          <w:rFonts w:ascii="Times New Roman" w:hAnsi="Times New Roman" w:cs="Times New Roman"/>
          <w:szCs w:val="21"/>
        </w:rPr>
        <w:t>-</w:t>
      </w:r>
      <w:r>
        <w:rPr>
          <w:rFonts w:hint="eastAsia" w:ascii="Times New Roman" w:hAnsi="Times New Roman" w:cs="Times New Roman"/>
          <w:szCs w:val="21"/>
        </w:rPr>
        <w:t>2021年07月07日12时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石柱县新城区写字楼5楼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谭老师</w:t>
      </w:r>
      <w:r>
        <w:rPr>
          <w:rFonts w:ascii="Times New Roman" w:hAnsi="Times New Roman" w:cs="Times New Roman"/>
          <w:szCs w:val="21"/>
        </w:rPr>
        <w:t>，联系电话：</w:t>
      </w:r>
      <w:r>
        <w:rPr>
          <w:rFonts w:hint="eastAsia" w:ascii="Times New Roman" w:hAnsi="Times New Roman" w:cs="Times New Roman"/>
          <w:szCs w:val="21"/>
        </w:rPr>
        <w:t>023-73377087</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石柱土家族自治县公共资源综合交易中心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7、竞买保证金缴款凭据（复印件1份）</w:t>
      </w:r>
      <w:r>
        <w:rPr>
          <w:rFonts w:hint="eastAsia" w:ascii="Times New Roman" w:hAnsi="Times New Roman" w:cs="Times New Roman"/>
          <w:szCs w:val="21"/>
        </w:rPr>
        <w:cr/>
      </w:r>
      <w:r>
        <w:rPr>
          <w:rFonts w:hint="eastAsia" w:ascii="Times New Roman" w:hAnsi="Times New Roman" w:cs="Times New Roman"/>
          <w:szCs w:val="21"/>
        </w:rPr>
        <w:t>
8、固定资产转接保证金凭据（县规划和自然资源局出具的正式收据复印件1份）</w:t>
      </w:r>
      <w:r>
        <w:rPr>
          <w:rFonts w:hint="eastAsia" w:ascii="Times New Roman" w:hAnsi="Times New Roman" w:cs="Times New Roman"/>
          <w:szCs w:val="21"/>
        </w:rPr>
        <w:cr/>
      </w:r>
      <w:r>
        <w:rPr>
          <w:rFonts w:hint="eastAsia" w:ascii="Times New Roman" w:hAnsi="Times New Roman" w:cs="Times New Roman"/>
          <w:szCs w:val="21"/>
        </w:rPr>
        <w:t>
9、县规划自然资源局相关证明材料(仅限原采矿权人) （原件1份）</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1020</w:t>
      </w:r>
      <w:r>
        <w:rPr>
          <w:rFonts w:ascii="Times New Roman" w:hAnsi="Times New Roman" w:cs="Times New Roman"/>
          <w:szCs w:val="21"/>
        </w:rPr>
        <w:t>万元（大写：</w:t>
      </w:r>
      <w:r>
        <w:rPr>
          <w:rFonts w:hint="eastAsia" w:ascii="宋体" w:hAnsi="宋体" w:eastAsia="宋体" w:cs="宋体"/>
          <w:szCs w:val="21"/>
        </w:rPr>
        <w:t>壹仟零贰拾万元整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石柱土家族自治县公共资源综合交易中心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2021年07月07日09时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开户行：重庆银行石柱支行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帐号：760101040005460。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开户行：中国农业银行石柱万寿支行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帐号：31820201040002166。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开户行：中国工商银行石柱支行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帐号：3100019329200103180。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开户行：中国建设银行股份有限公司石柱良玉广场支行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帐号：50050120620009345678。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保证金户名：石柱土家族自治县公共资源综合交易中心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开户行：重庆农村商业银行石柱支行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帐号：4501010120010018239000000。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石柱土家族自治县公共资源综合交易中心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50万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石柱土家族自治县公共资源综合交易中心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根据《财政部国土资源部关于印发&lt;矿业权出让收益征收管理暂行办法&gt;的通知》（财综﹝2017﹞35号）和《重庆市财政局和重庆市国土资源和房屋管理局关于转发&lt;矿业权出让收益征收管理暂行办法&gt;的通知》（渝财建﹝2017﹞584号）有关要求，本宗采矿权出让收益一次性缴纳，不实行分期缴纳。竞得人须在签订《重庆市采矿权出让合同》后15日内缴清，否则将收回或注销其《采矿权出让成交确认书》、《重庆市采矿权出让合同》，取消其确认资格，并按该宗采矿权的竞买须知有关规定没收其竞买保证金。</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（一）矿区范围及周边可能存在不可预期风险，竞买申请人报名前须自行前往现场踏勘了解，未进行现场踏勘的，提交申请即视为竞买人对采矿权现状和出让文件已完全认可并自愿承担所有风险；   </w:t>
      </w:r>
      <w:r>
        <w:rPr>
          <w:rFonts w:hint="eastAsia" w:ascii="Times New Roman" w:hAnsi="Times New Roman" w:cs="Times New Roman"/>
          <w:szCs w:val="21"/>
        </w:rPr>
        <w:cr/>
      </w:r>
      <w:r>
        <w:rPr>
          <w:rFonts w:hint="eastAsia" w:ascii="Times New Roman" w:hAnsi="Times New Roman" w:cs="Times New Roman"/>
          <w:szCs w:val="21"/>
        </w:rPr>
        <w:t xml:space="preserve">
（二）本次出让采矿权范围包含已建矿山，不具备独立开采条件，竞得人必须利用已建矿山开采系统，包括场地、设备进行生产。竞买申请人须认真详读竞买须知，矿区范围及周边可能存在不可预期风险，竞买申请人须认真详读竞买须知，竞买申请人报名前须自行前往现场踏勘了解，现场踏勘并详细了解出让范围及周边土地、山权、林权、道路、地下管线、水电供给、废渣占地堆放、地表附着物、社群关系等影响资源开采的外部条件以及资产评估和其他权益补偿情况。未进行现场踏勘的，提交竞买申请即视为竟买人对采矿权现状、公告须知、采矿权出让合同内容、资产评估及其他权益补偿额已完全认可并自愿承担所有风险。 </w:t>
      </w:r>
      <w:r>
        <w:rPr>
          <w:rFonts w:hint="eastAsia" w:ascii="Times New Roman" w:hAnsi="Times New Roman" w:cs="Times New Roman"/>
          <w:szCs w:val="21"/>
        </w:rPr>
        <w:cr/>
      </w:r>
      <w:r>
        <w:rPr>
          <w:rFonts w:hint="eastAsia" w:ascii="Times New Roman" w:hAnsi="Times New Roman" w:cs="Times New Roman"/>
          <w:szCs w:val="21"/>
        </w:rPr>
        <w:t>
（三）本宗采矿权《出让技术报告》《矿业权评估报告》《资产评估报告》可凭报名相关凭证到石柱县规划和自然资源局查阅。</w:t>
      </w:r>
      <w:r>
        <w:rPr>
          <w:rFonts w:hint="eastAsia" w:ascii="Times New Roman" w:hAnsi="Times New Roman" w:cs="Times New Roman"/>
          <w:szCs w:val="21"/>
        </w:rPr>
        <w:cr/>
      </w:r>
      <w:r>
        <w:rPr>
          <w:rFonts w:hint="eastAsia" w:ascii="Times New Roman" w:hAnsi="Times New Roman" w:cs="Times New Roman"/>
          <w:szCs w:val="21"/>
        </w:rPr>
        <w:t>
（四）本次出让的仅为采矿权，不含出让范围的土地、山林等其他权利。</w:t>
      </w:r>
      <w:r>
        <w:rPr>
          <w:rFonts w:hint="eastAsia" w:ascii="Times New Roman" w:hAnsi="Times New Roman" w:cs="Times New Roman"/>
          <w:szCs w:val="21"/>
        </w:rPr>
        <w:cr/>
      </w:r>
      <w:r>
        <w:rPr>
          <w:rFonts w:hint="eastAsia" w:ascii="Times New Roman" w:hAnsi="Times New Roman" w:cs="Times New Roman"/>
          <w:szCs w:val="21"/>
        </w:rPr>
        <w:t>
（五）根据出让前期技术报告等资料，截止2021年3月24日， 拟划矿区范围内保有总控制资源量10835千吨，其中可利用控制资源量10815千吨，边坡控制资源量20千吨。原矿区范围出让控制资源量5773千吨，据矿山历年动态检测和核查报告统计，矿山从2015年4月-2020年12月累计动用控制资源储量2693.4千吨，剩余出让控制资源量3079.6千吨，新增控制资源量7755.4千吨。该矿区范围内原剩余建筑石料用灰岩资源量3079.6千吨（最终以储量核实报告和现场交付的为准）未纳入本次公开出让，成交确认后，原矿权人剩余资源量由竞得人于《重庆市采矿权出让合同》签订前，按本次竞得的单价支付给原采矿权人。</w:t>
      </w:r>
      <w:r>
        <w:rPr>
          <w:rFonts w:hint="eastAsia" w:ascii="Times New Roman" w:hAnsi="Times New Roman" w:cs="Times New Roman"/>
          <w:szCs w:val="21"/>
        </w:rPr>
        <w:cr/>
      </w:r>
      <w:r>
        <w:rPr>
          <w:rFonts w:hint="eastAsia" w:ascii="Times New Roman" w:hAnsi="Times New Roman" w:cs="Times New Roman"/>
          <w:szCs w:val="21"/>
        </w:rPr>
        <w:t xml:space="preserve">
（六）本次出让采矿权范围包含已建矿山，过公开出让方式增划资源扩大生产规模，竞买申请人须认真详读出让文件、了解矿山基本情况，新竞得人需要同时对原采矿权人固定资产进行转接。原采矿权人的机器设备、房屋建筑、构筑物及其他辅助设施、土地租赁费用等固定资产投入评估价值详见《评估报告》，竞买申请人除须交纳竞买保证金外，还须足额交纳原采矿权人固定资产价值3800.00万元至固定资产转接保证金账户，未按时到帐的，不予受理竞买报名资格（原采矿权人参与本次竞买，不需缴纳固定资产转接保证金，持县规划自然资源局相关证明材料按竞买要求参与竞买）。 </w:t>
      </w:r>
      <w:r>
        <w:rPr>
          <w:rFonts w:hint="eastAsia" w:ascii="Times New Roman" w:hAnsi="Times New Roman" w:cs="Times New Roman"/>
          <w:szCs w:val="21"/>
        </w:rPr>
        <w:cr/>
      </w:r>
      <w:r>
        <w:rPr>
          <w:rFonts w:hint="eastAsia" w:ascii="Times New Roman" w:hAnsi="Times New Roman" w:cs="Times New Roman"/>
          <w:szCs w:val="21"/>
        </w:rPr>
        <w:t>
如成功竞得，在签订《重庆市采矿权出让合同》前，新竞得人与原采矿权人需在《采矿权成交确认书》公示完成后30日内完成固定资产移交并形成资产转让协议后，由双方向县规划和自然资源局申请一次性将《评估报告》明确的评估价值3800.00万元（大写：叁仟捌佰万元整）支付给原矿业权人，因原采矿权人资产属国有资产，新竞得人还需按照国有资产管理的相关规定和流程报批固定资产转让后，才能签订采矿权出让合同。相关税费由竞得人自行承担。</w:t>
      </w:r>
      <w:r>
        <w:rPr>
          <w:rFonts w:hint="eastAsia" w:ascii="Times New Roman" w:hAnsi="Times New Roman" w:cs="Times New Roman"/>
          <w:szCs w:val="21"/>
        </w:rPr>
        <w:cr/>
      </w:r>
      <w:r>
        <w:rPr>
          <w:rFonts w:hint="eastAsia" w:ascii="Times New Roman" w:hAnsi="Times New Roman" w:cs="Times New Roman"/>
          <w:szCs w:val="21"/>
        </w:rPr>
        <w:t xml:space="preserve">
（七）竞买申请人应于竞买报名截止时间之前，向石柱土家族自治县规划和自然资源局指定的唯一账户交纳原采矿权人固定资产转接保证金人民币3800.00万元（大写：叁仟捌佰万元整）。竞买申请人交款时间以银行确认的到帐时间为准。竞买申请人交纳原采矿权人固定资产转接保证金到账截止时间为：2021年7月7日09：00时。  </w:t>
      </w:r>
      <w:r>
        <w:rPr>
          <w:rFonts w:hint="eastAsia" w:ascii="Times New Roman" w:hAnsi="Times New Roman" w:cs="Times New Roman"/>
          <w:szCs w:val="21"/>
        </w:rPr>
        <w:cr/>
      </w:r>
      <w:r>
        <w:rPr>
          <w:rFonts w:hint="eastAsia" w:ascii="Times New Roman" w:hAnsi="Times New Roman" w:cs="Times New Roman"/>
          <w:szCs w:val="21"/>
        </w:rPr>
        <w:t xml:space="preserve">
固定资产转接保证金户名：石柱土家族自治县财政局   </w:t>
      </w:r>
      <w:r>
        <w:rPr>
          <w:rFonts w:hint="eastAsia" w:ascii="Times New Roman" w:hAnsi="Times New Roman" w:cs="Times New Roman"/>
          <w:szCs w:val="21"/>
        </w:rPr>
        <w:cr/>
      </w:r>
      <w:r>
        <w:rPr>
          <w:rFonts w:hint="eastAsia" w:ascii="Times New Roman" w:hAnsi="Times New Roman" w:cs="Times New Roman"/>
          <w:szCs w:val="21"/>
        </w:rPr>
        <w:t xml:space="preserve">
固定资产转接保证金开户银行：重庆农村商业银行石柱支行  </w:t>
      </w:r>
      <w:r>
        <w:rPr>
          <w:rFonts w:hint="eastAsia" w:ascii="Times New Roman" w:hAnsi="Times New Roman" w:cs="Times New Roman"/>
          <w:szCs w:val="21"/>
        </w:rPr>
        <w:cr/>
      </w:r>
      <w:r>
        <w:rPr>
          <w:rFonts w:hint="eastAsia" w:ascii="Times New Roman" w:hAnsi="Times New Roman" w:cs="Times New Roman"/>
          <w:szCs w:val="21"/>
        </w:rPr>
        <w:t xml:space="preserve">
固定资产转接保证金账号：4501010120010011341-069001   </w:t>
      </w:r>
      <w:r>
        <w:rPr>
          <w:rFonts w:hint="eastAsia" w:ascii="Times New Roman" w:hAnsi="Times New Roman" w:cs="Times New Roman"/>
          <w:szCs w:val="21"/>
        </w:rPr>
        <w:cr/>
      </w:r>
      <w:r>
        <w:rPr>
          <w:rFonts w:hint="eastAsia" w:ascii="Times New Roman" w:hAnsi="Times New Roman" w:cs="Times New Roman"/>
          <w:szCs w:val="21"/>
        </w:rPr>
        <w:t xml:space="preserve">
固定资产转接保证金账户只接受银行转账或电汇方式转入，不接受现金或现金汇款。 </w:t>
      </w:r>
      <w:r>
        <w:rPr>
          <w:rFonts w:hint="eastAsia" w:ascii="Times New Roman" w:hAnsi="Times New Roman" w:cs="Times New Roman"/>
          <w:szCs w:val="21"/>
        </w:rPr>
        <w:cr/>
      </w:r>
      <w:r>
        <w:rPr>
          <w:rFonts w:hint="eastAsia" w:ascii="Times New Roman" w:hAnsi="Times New Roman" w:cs="Times New Roman"/>
          <w:szCs w:val="21"/>
        </w:rPr>
        <w:t>
 温馨提示：为避免因固定资产转接保证金到账时间延误，影响您竞买资格，建议您在固定资产转接保证金到账截止时间的1至2天之前交纳转接保证金。并注名缴规划和自然资源局固定资产转接保证金。</w:t>
      </w:r>
      <w:r>
        <w:rPr>
          <w:rFonts w:hint="eastAsia" w:ascii="Times New Roman" w:hAnsi="Times New Roman" w:cs="Times New Roman"/>
          <w:szCs w:val="21"/>
        </w:rPr>
        <w:cr/>
      </w:r>
      <w:r>
        <w:rPr>
          <w:rFonts w:hint="eastAsia" w:ascii="Times New Roman" w:hAnsi="Times New Roman" w:cs="Times New Roman"/>
          <w:szCs w:val="21"/>
        </w:rPr>
        <w:t xml:space="preserve">
（九）竞得人竞得该宗采矿权，还需向出让人另外支付该采矿权出让工作成本19.95万元，在签订《重庆市采矿权出让合同》后15个日内一次性支付。   </w:t>
      </w:r>
      <w:r>
        <w:rPr>
          <w:rFonts w:hint="eastAsia" w:ascii="Times New Roman" w:hAnsi="Times New Roman" w:cs="Times New Roman"/>
          <w:szCs w:val="21"/>
        </w:rPr>
        <w:cr/>
      </w:r>
      <w:r>
        <w:rPr>
          <w:rFonts w:hint="eastAsia" w:ascii="Times New Roman" w:hAnsi="Times New Roman" w:cs="Times New Roman"/>
          <w:szCs w:val="21"/>
        </w:rPr>
        <w:t xml:space="preserve">
（十）该宗采矿权涉及的资产评估内容和价值，是为解决原采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 </w:t>
      </w:r>
      <w:r>
        <w:rPr>
          <w:rFonts w:hint="eastAsia" w:ascii="Times New Roman" w:hAnsi="Times New Roman" w:cs="Times New Roman"/>
          <w:szCs w:val="21"/>
        </w:rPr>
        <w:cr/>
      </w:r>
      <w:r>
        <w:rPr>
          <w:rFonts w:hint="eastAsia" w:ascii="Times New Roman" w:hAnsi="Times New Roman" w:cs="Times New Roman"/>
          <w:szCs w:val="21"/>
        </w:rPr>
        <w:t xml:space="preserve">
（十一）原则上自采矿许可证发证之日起一年内投产，逾期投产的，除政府原因或者不可抗力外，出让人有权解除出让合同并重新公开出让。  </w:t>
      </w:r>
      <w:r>
        <w:rPr>
          <w:rFonts w:hint="eastAsia" w:ascii="Times New Roman" w:hAnsi="Times New Roman" w:cs="Times New Roman"/>
          <w:szCs w:val="21"/>
        </w:rPr>
        <w:cr/>
      </w:r>
      <w:r>
        <w:rPr>
          <w:rFonts w:hint="eastAsia" w:ascii="Times New Roman" w:hAnsi="Times New Roman" w:cs="Times New Roman"/>
          <w:szCs w:val="21"/>
        </w:rPr>
        <w:t>
（十二）竞得人须自行或委托编制矿山地质环境恢复治理和土地复垦方案并通过审查，同时按照《重庆市矿产资源管理条例》《矿山地质环境保护规定》等有关规定承担相应的矿山生态修复义务。</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石柱土家族自治县规划和自然资源局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石柱土家族自治县公共资源综合交易中心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石柱县六塘乡高龙村石灰岩矿山采矿权</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附件六：采矿权竞买资料清单</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挂牌出让竞买报价单</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保证金划缴委托书</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 w:val="4BB50A36"/>
    <w:rsid w:val="6FFD4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2</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2021-06-08T08:06:46Z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