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渝矿采出字〔2021〕（荣昌）1号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2021年06月25日17时</w:t>
      </w:r>
      <w:r>
        <w:rPr>
          <w:rFonts w:asciiTheme="minorEastAsia" w:hAnsiTheme="minorEastAsia"/>
          <w:sz w:val="24"/>
        </w:rPr>
        <w:t>-</w:t>
      </w:r>
      <w:r>
        <w:rPr>
          <w:rFonts w:hint="eastAsia" w:asciiTheme="minorEastAsia" w:hAnsiTheme="minorEastAsia"/>
          <w:sz w:val="24"/>
        </w:rPr>
        <w:t>2021年07月23日17时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重庆市荣昌区公共资源交易中心</w:t>
      </w:r>
      <w:r>
        <w:rPr>
          <w:rFonts w:asciiTheme="minorEastAsia" w:hAnsiTheme="minorEastAsia"/>
          <w:sz w:val="24"/>
        </w:rPr>
        <w:t>索取相关资料并进行报名。地址：</w:t>
      </w:r>
      <w:r>
        <w:rPr>
          <w:rFonts w:hint="eastAsia" w:asciiTheme="minorEastAsia" w:hAnsiTheme="minorEastAsia"/>
          <w:sz w:val="24"/>
        </w:rPr>
        <w:t>重庆市荣昌区昌元街道迎宾大道兴荣大厦</w:t>
      </w:r>
      <w:r>
        <w:rPr>
          <w:rFonts w:asciiTheme="minorEastAsia" w:hAnsiTheme="minorEastAsia"/>
          <w:sz w:val="24"/>
        </w:rPr>
        <w:t>，联系电话：</w:t>
      </w:r>
      <w:r>
        <w:rPr>
          <w:rFonts w:hint="eastAsia" w:asciiTheme="minorEastAsia" w:hAnsiTheme="minorEastAsia"/>
          <w:sz w:val="24"/>
        </w:rPr>
        <w:t>023-46789811</w:t>
      </w:r>
      <w:r>
        <w:rPr>
          <w:rFonts w:asciiTheme="minorEastAsia" w:hAnsiTheme="minorEastAsia"/>
          <w:sz w:val="24"/>
        </w:rPr>
        <w:t>，联系人：</w:t>
      </w:r>
      <w:r>
        <w:rPr>
          <w:rFonts w:hint="eastAsia" w:asciiTheme="minorEastAsia" w:hAnsiTheme="minorEastAsia"/>
          <w:sz w:val="24"/>
        </w:rPr>
        <w:t>刘女士、张先生</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同步发布的网站：重庆市规划和自然资源局网站：http://ghzrzyj.cq.gov.cn、重庆市荣昌区公共资源交易中心</w:t>
      </w:r>
      <w:r>
        <w:rPr>
          <w:rFonts w:asciiTheme="minorEastAsia" w:hAnsiTheme="minorEastAsia"/>
          <w:sz w:val="24"/>
        </w:rPr>
        <w:t>网站：</w:t>
      </w:r>
      <w:r>
        <w:rPr>
          <w:rFonts w:hint="eastAsia" w:asciiTheme="minorEastAsia" w:hAnsiTheme="minorEastAsia"/>
          <w:sz w:val="24"/>
        </w:rPr>
        <w:t xml:space="preserve">http://www.cqggzy.com/rongchangweb，自然资源部门户网站http://www.mnr.gov.cn、其他渠道无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RCGC202101</w:t>
            </w:r>
          </w:p>
        </w:tc>
        <w:tc>
          <w:tcPr>
            <w:tcW w:w="1510" w:type="dxa"/>
            <w:vAlign w:val="center"/>
          </w:tcPr>
          <w:p>
            <w:pPr>
              <w:jc w:val="center"/>
              <w:rPr>
                <w:rFonts w:ascii="Times New Roman" w:hAnsi="Times New Roman"/>
                <w:szCs w:val="21"/>
              </w:rPr>
            </w:pPr>
            <w:r>
              <w:rPr>
                <w:rFonts w:hint="eastAsia" w:ascii="Times New Roman" w:hAnsi="Times New Roman"/>
                <w:szCs w:val="21"/>
              </w:rPr>
              <w:t>重庆市荣昌区广顺街道黄家冲村九社北段陶瓷用砂岩矿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重庆市荣昌区广顺街道黄家冲村九社</w:t>
            </w:r>
          </w:p>
        </w:tc>
        <w:tc>
          <w:tcPr>
            <w:tcW w:w="1080" w:type="dxa"/>
            <w:vAlign w:val="center"/>
          </w:tcPr>
          <w:p>
            <w:pPr>
              <w:jc w:val="center"/>
              <w:rPr>
                <w:rFonts w:ascii="Times New Roman" w:hAnsi="Times New Roman"/>
                <w:szCs w:val="21"/>
              </w:rPr>
            </w:pPr>
            <w:r>
              <w:rPr>
                <w:rFonts w:hint="eastAsia" w:ascii="Times New Roman" w:hAnsi="Times New Roman"/>
                <w:szCs w:val="21"/>
              </w:rPr>
              <w:t>陶瓷用砂岩、建筑用砂岩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979.6万吨</w:t>
            </w:r>
          </w:p>
        </w:tc>
        <w:tc>
          <w:tcPr>
            <w:tcW w:w="1343" w:type="dxa"/>
            <w:vAlign w:val="center"/>
          </w:tcPr>
          <w:p>
            <w:pPr>
              <w:jc w:val="center"/>
              <w:rPr>
                <w:rFonts w:ascii="Times New Roman" w:hAnsi="Times New Roman"/>
                <w:szCs w:val="21"/>
              </w:rPr>
            </w:pPr>
            <w:r>
              <w:rPr>
                <w:rFonts w:hint="eastAsia" w:ascii="Times New Roman" w:hAnsi="Times New Roman"/>
                <w:szCs w:val="21"/>
              </w:rPr>
              <w:t>0.1217</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500米至</w:t>
            </w:r>
            <w:r>
              <w:rPr>
                <w:rFonts w:hint="eastAsia" w:ascii="Times New Roman" w:hAnsi="Times New Roman"/>
                <w:lang w:val="en-US" w:eastAsia="zh-CN"/>
              </w:rPr>
              <w:t>+</w:t>
            </w:r>
            <w:r>
              <w:rPr>
                <w:rFonts w:hint="eastAsia" w:ascii="Times New Roman" w:hAnsi="Times New Roman"/>
              </w:rPr>
              <w:t>418米</w:t>
            </w:r>
          </w:p>
        </w:tc>
        <w:tc>
          <w:tcPr>
            <w:tcW w:w="1486" w:type="dxa"/>
            <w:vAlign w:val="center"/>
          </w:tcPr>
          <w:p>
            <w:pPr>
              <w:jc w:val="center"/>
              <w:rPr>
                <w:rFonts w:ascii="Times New Roman" w:hAnsi="Times New Roman"/>
                <w:szCs w:val="21"/>
              </w:rPr>
            </w:pPr>
            <w:r>
              <w:rPr>
                <w:rFonts w:hint="eastAsia" w:ascii="Times New Roman" w:hAnsi="Times New Roman"/>
                <w:szCs w:val="21"/>
              </w:rPr>
              <w:t>60万吨</w:t>
            </w:r>
          </w:p>
        </w:tc>
        <w:tc>
          <w:tcPr>
            <w:tcW w:w="851" w:type="dxa"/>
            <w:vAlign w:val="center"/>
          </w:tcPr>
          <w:p>
            <w:pPr>
              <w:jc w:val="center"/>
              <w:rPr>
                <w:rFonts w:ascii="Times New Roman" w:hAnsi="Times New Roman"/>
                <w:szCs w:val="21"/>
              </w:rPr>
            </w:pPr>
            <w:r>
              <w:rPr>
                <w:rFonts w:hint="eastAsia" w:ascii="Times New Roman" w:hAnsi="Times New Roman"/>
                <w:szCs w:val="21"/>
              </w:rPr>
              <w:t>11</w:t>
            </w:r>
          </w:p>
        </w:tc>
        <w:tc>
          <w:tcPr>
            <w:tcW w:w="1134" w:type="dxa"/>
            <w:vAlign w:val="center"/>
          </w:tcPr>
          <w:p>
            <w:pPr>
              <w:jc w:val="center"/>
              <w:rPr>
                <w:rFonts w:ascii="Times New Roman" w:hAnsi="Times New Roman"/>
                <w:szCs w:val="21"/>
              </w:rPr>
            </w:pPr>
            <w:r>
              <w:rPr>
                <w:rFonts w:hint="eastAsia" w:ascii="Times New Roman" w:hAnsi="Times New Roman"/>
                <w:szCs w:val="21"/>
              </w:rPr>
              <w:t>3134.72</w:t>
            </w:r>
          </w:p>
        </w:tc>
        <w:tc>
          <w:tcPr>
            <w:tcW w:w="916" w:type="dxa"/>
            <w:vAlign w:val="center"/>
          </w:tcPr>
          <w:p>
            <w:pPr>
              <w:jc w:val="center"/>
              <w:rPr>
                <w:rFonts w:ascii="Times New Roman" w:hAnsi="Times New Roman"/>
                <w:szCs w:val="21"/>
              </w:rPr>
            </w:pPr>
            <w:r>
              <w:rPr>
                <w:rFonts w:hint="eastAsia" w:ascii="Times New Roman" w:hAnsi="Times New Roman"/>
                <w:szCs w:val="21"/>
              </w:rPr>
              <w:t>627</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一、序号RCGC202101 采矿权出让人：</w:t>
      </w:r>
      <w:r>
        <w:rPr>
          <w:rFonts w:hint="eastAsia" w:asciiTheme="minorEastAsia" w:hAnsiTheme="minorEastAsia"/>
          <w:sz w:val="24"/>
          <w:szCs w:val="24"/>
        </w:rPr>
        <w:t>重庆市荣昌区规划和自然资源局</w:t>
      </w:r>
      <w:r>
        <w:rPr>
          <w:rFonts w:asciiTheme="minorEastAsia" w:hAnsiTheme="minorEastAsia"/>
          <w:sz w:val="24"/>
          <w:szCs w:val="24"/>
        </w:rPr>
        <w:t>，地址：</w:t>
      </w:r>
      <w:r>
        <w:rPr>
          <w:rFonts w:hint="eastAsia" w:cs="宋体" w:asciiTheme="minorEastAsia" w:hAnsiTheme="minorEastAsia"/>
          <w:sz w:val="24"/>
          <w:szCs w:val="24"/>
        </w:rPr>
        <w:t>重庆市荣昌区昌元街道海棠社区迎宾大道20号</w:t>
      </w:r>
      <w:r>
        <w:rPr>
          <w:rFonts w:asciiTheme="minorEastAsia" w:hAnsiTheme="minorEastAsia"/>
          <w:sz w:val="24"/>
          <w:szCs w:val="24"/>
        </w:rPr>
        <w:t>，联系人：</w:t>
      </w:r>
      <w:r>
        <w:rPr>
          <w:rFonts w:hint="eastAsia" w:cs="宋体" w:asciiTheme="minorEastAsia" w:hAnsiTheme="minorEastAsia"/>
          <w:sz w:val="24"/>
          <w:szCs w:val="24"/>
        </w:rPr>
        <w:t>李志</w:t>
      </w:r>
      <w:r>
        <w:rPr>
          <w:rFonts w:asciiTheme="minorEastAsia" w:hAnsiTheme="minorEastAsia"/>
          <w:sz w:val="24"/>
          <w:szCs w:val="24"/>
        </w:rPr>
        <w:t>，联系电话：</w:t>
      </w:r>
      <w:r>
        <w:rPr>
          <w:rFonts w:hint="eastAsia" w:asciiTheme="minorEastAsia" w:hAnsiTheme="minorEastAsia"/>
          <w:sz w:val="24"/>
          <w:szCs w:val="24"/>
        </w:rPr>
        <w:t>023-46736033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重庆市荣昌区公共资源交易中心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中国农业银行昌州支行</w:t>
      </w:r>
      <w:r>
        <w:rPr>
          <w:rFonts w:asciiTheme="minorEastAsia" w:hAnsiTheme="minorEastAsia"/>
          <w:sz w:val="24"/>
          <w:szCs w:val="24"/>
        </w:rPr>
        <w:t xml:space="preserve"> 帐号：</w:t>
      </w:r>
      <w:r>
        <w:rPr>
          <w:rFonts w:hint="eastAsia" w:asciiTheme="minorEastAsia" w:hAnsiTheme="minorEastAsia"/>
          <w:sz w:val="24"/>
          <w:szCs w:val="24"/>
        </w:rPr>
        <w:t xml:space="preserve">31-171701040001881 </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重庆市荣昌区公共资源交易中心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中国建设银行荣昌支行</w:t>
      </w:r>
      <w:r>
        <w:rPr>
          <w:rFonts w:asciiTheme="minorEastAsia" w:hAnsiTheme="minorEastAsia"/>
          <w:sz w:val="24"/>
          <w:szCs w:val="24"/>
        </w:rPr>
        <w:t xml:space="preserve"> 帐号：</w:t>
      </w:r>
      <w:r>
        <w:rPr>
          <w:rFonts w:hint="eastAsia" w:asciiTheme="minorEastAsia" w:hAnsiTheme="minorEastAsia"/>
          <w:sz w:val="24"/>
          <w:szCs w:val="24"/>
        </w:rPr>
        <w:t>50001173600050206823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重庆市荣昌区公共资源交易中心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中国工商银行荣昌支行</w:t>
      </w:r>
      <w:r>
        <w:rPr>
          <w:rFonts w:asciiTheme="minorEastAsia" w:hAnsiTheme="minorEastAsia"/>
          <w:sz w:val="24"/>
          <w:szCs w:val="24"/>
        </w:rPr>
        <w:t xml:space="preserve"> 帐号：</w:t>
      </w:r>
      <w:r>
        <w:rPr>
          <w:rFonts w:hint="eastAsia" w:asciiTheme="minorEastAsia" w:hAnsiTheme="minorEastAsia"/>
          <w:sz w:val="24"/>
          <w:szCs w:val="24"/>
        </w:rPr>
        <w:t>3100097009200019709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重庆市荣昌区公共资源交易中心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重庆农村商业银行荣昌支行</w:t>
      </w:r>
      <w:r>
        <w:rPr>
          <w:rFonts w:asciiTheme="minorEastAsia" w:hAnsiTheme="minorEastAsia"/>
          <w:sz w:val="24"/>
          <w:szCs w:val="24"/>
        </w:rPr>
        <w:t xml:space="preserve"> 帐号：</w:t>
      </w:r>
      <w:r>
        <w:rPr>
          <w:rFonts w:hint="eastAsia" w:asciiTheme="minorEastAsia" w:hAnsiTheme="minorEastAsia"/>
          <w:sz w:val="24"/>
          <w:szCs w:val="24"/>
        </w:rPr>
        <w:t>1901040120010005391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重庆市荣昌区公共资源交易中心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中国银行荣昌支行</w:t>
      </w:r>
      <w:r>
        <w:rPr>
          <w:rFonts w:asciiTheme="minorEastAsia" w:hAnsiTheme="minorEastAsia"/>
          <w:sz w:val="24"/>
          <w:szCs w:val="24"/>
        </w:rPr>
        <w:t xml:space="preserve"> 帐号：</w:t>
      </w:r>
      <w:r>
        <w:rPr>
          <w:rFonts w:hint="eastAsia" w:asciiTheme="minorEastAsia" w:hAnsiTheme="minorEastAsia"/>
          <w:sz w:val="24"/>
          <w:szCs w:val="24"/>
        </w:rPr>
        <w:t>113015831004</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2021年07月23日17时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重庆市荣昌区公共资源交易中心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hint="eastAsia" w:ascii="Times New Roman" w:hAnsi="Times New Roman"/>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重庆市荣昌区规划和自然资源局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重庆市荣昌区公共资源交易中心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eastAsiaTheme="minorEastAsia"/>
          <w:sz w:val="24"/>
          <w:lang w:eastAsia="zh-CN"/>
        </w:rPr>
      </w:pPr>
      <w:r>
        <w:rPr>
          <w:rFonts w:hint="eastAsia" w:ascii="Times New Roman" w:hAnsi="Times New Roman"/>
          <w:sz w:val="24"/>
        </w:rPr>
        <w:t>（一）本次出让的RCGC202101采矿权为新建矿山，竞买申请人须认真详读竞买须知，现场踏勘并详细了解出让范围及周边土地、山权、林权、道路、地下管线、水电供给、废渣占地堆放、地表附着物、社群关系等影响资源开采的外部条件以及其他权益补偿情况。提交竞买申请即视为竞买人对采矿权现状、公告须知、采矿权出让合同内容、其他权益补偿额已完全认可并自愿承担所有风险</w:t>
      </w:r>
      <w:r>
        <w:rPr>
          <w:rFonts w:hint="eastAsia" w:ascii="Times New Roman" w:hAnsi="Times New Roman"/>
          <w:sz w:val="24"/>
          <w:lang w:eastAsia="zh-CN"/>
        </w:rPr>
        <w:t>。</w:t>
      </w:r>
    </w:p>
    <w:p>
      <w:pPr>
        <w:spacing w:line="360" w:lineRule="exact"/>
        <w:ind w:firstLine="480" w:firstLineChars="200"/>
        <w:rPr>
          <w:rFonts w:hint="eastAsia" w:ascii="Times New Roman" w:hAnsi="Times New Roman"/>
          <w:sz w:val="24"/>
          <w:lang w:eastAsia="zh-CN"/>
        </w:rPr>
      </w:pPr>
      <w:r>
        <w:rPr>
          <w:rFonts w:hint="eastAsia" w:ascii="Times New Roman" w:hAnsi="Times New Roman"/>
          <w:sz w:val="24"/>
        </w:rPr>
        <w:t>（二）RCGC202101采矿权根据出让前期报告等资料，该矿山设计为露天开采陶瓷用砂岩，伴生矿种为建筑用砂岩，划定矿区范围内共占用陶瓷用砂岩控制资源量为292.50万吨，建筑用砂岩控制资源量为687.10万吨</w:t>
      </w:r>
      <w:r>
        <w:rPr>
          <w:rFonts w:hint="eastAsia" w:ascii="Times New Roman" w:hAnsi="Times New Roman"/>
          <w:sz w:val="24"/>
          <w:lang w:eastAsia="zh-CN"/>
        </w:rPr>
        <w:t>。</w:t>
      </w:r>
    </w:p>
    <w:p>
      <w:pPr>
        <w:spacing w:line="360" w:lineRule="exact"/>
        <w:ind w:firstLine="480" w:firstLineChars="200"/>
        <w:rPr>
          <w:rFonts w:hint="eastAsia" w:ascii="Times New Roman" w:hAnsi="Times New Roman"/>
          <w:sz w:val="24"/>
          <w:lang w:eastAsia="zh-CN"/>
        </w:rPr>
      </w:pPr>
      <w:r>
        <w:rPr>
          <w:rFonts w:hint="eastAsia" w:ascii="Times New Roman" w:hAnsi="Times New Roman"/>
          <w:sz w:val="24"/>
        </w:rPr>
        <w:t>（三）竞得人须自行或委托编制矿山地质环境恢复治理和土地复垦方案并通过审查，同时按照《矿山地质环境保护规定》等相关规定履行矿山地质环境保护相关义务</w:t>
      </w:r>
      <w:r>
        <w:rPr>
          <w:rFonts w:hint="eastAsia" w:ascii="Times New Roman" w:hAnsi="Times New Roman"/>
          <w:sz w:val="24"/>
          <w:lang w:eastAsia="zh-CN"/>
        </w:rPr>
        <w:t>。</w:t>
      </w:r>
    </w:p>
    <w:p>
      <w:pPr>
        <w:spacing w:line="360" w:lineRule="exact"/>
        <w:ind w:firstLine="480" w:firstLineChars="200"/>
        <w:rPr>
          <w:rFonts w:hint="eastAsia" w:ascii="Times New Roman" w:hAnsi="Times New Roman"/>
          <w:sz w:val="24"/>
          <w:lang w:eastAsia="zh-CN"/>
        </w:rPr>
      </w:pPr>
      <w:r>
        <w:rPr>
          <w:rFonts w:hint="eastAsia" w:ascii="Times New Roman" w:hAnsi="Times New Roman"/>
          <w:sz w:val="24"/>
        </w:rPr>
        <w:t>（四）根据《重庆市绿色矿山管理办法》有关规定，竞得人应当按照国家和重庆市有关标准建设绿色矿山，承担绿色矿山建设主体责任，自行编制或者委托有关机构编制绿色矿山建设实施方案。新建矿山应当按照采矿权出让合同约定时限、在投产前建成绿色矿山并达标入库。竞得人未履行或者未完成采矿权出让合同约定的绿色矿山建设目标任务的，采矿权出让人将按照有关规定追究竞得人的责任</w:t>
      </w:r>
      <w:r>
        <w:rPr>
          <w:rFonts w:hint="eastAsia" w:ascii="Times New Roman" w:hAnsi="Times New Roman"/>
          <w:sz w:val="24"/>
          <w:lang w:eastAsia="zh-CN"/>
        </w:rPr>
        <w:t>。</w:t>
      </w:r>
    </w:p>
    <w:p>
      <w:pPr>
        <w:spacing w:line="360" w:lineRule="exact"/>
        <w:ind w:firstLine="480" w:firstLineChars="200"/>
        <w:rPr>
          <w:rFonts w:hint="eastAsia" w:ascii="Times New Roman" w:hAnsi="Times New Roman" w:eastAsiaTheme="minorEastAsia"/>
          <w:sz w:val="24"/>
          <w:lang w:eastAsia="zh-CN"/>
        </w:rPr>
        <w:sectPr>
          <w:pgSz w:w="16838" w:h="11906" w:orient="landscape"/>
          <w:pgMar w:top="567" w:right="1134" w:bottom="567" w:left="1134" w:header="851" w:footer="992" w:gutter="0"/>
          <w:cols w:space="720" w:num="1"/>
          <w:docGrid w:type="lines" w:linePitch="312" w:charSpace="0"/>
        </w:sectPr>
      </w:pPr>
      <w:bookmarkStart w:id="0" w:name="_GoBack"/>
      <w:bookmarkEnd w:id="0"/>
      <w:r>
        <w:rPr>
          <w:rFonts w:hint="eastAsia" w:ascii="Times New Roman" w:hAnsi="Times New Roman"/>
          <w:sz w:val="24"/>
        </w:rPr>
        <w:t>（五）竞得人应当按照规定履行矿山生态修复、生态保护和污染防治、安全生产、水土保持、林地保护等法定义务。绿色矿山建设，不代替法定义务履行，不代替有关部门监管</w:t>
      </w:r>
      <w:r>
        <w:rPr>
          <w:rFonts w:hint="eastAsia" w:ascii="Times New Roman" w:hAnsi="Times New Roman"/>
          <w:sz w:val="24"/>
          <w:lang w:eastAsia="zh-CN"/>
        </w:rPr>
        <w:t>。</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重庆市荣昌区广顺街道黄家冲村九社北段陶瓷用砂岩矿采矿权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RCGC202101</w:t>
      </w:r>
    </w:p>
    <w:p>
      <w:pPr>
        <w:spacing w:line="360" w:lineRule="exact"/>
        <w:ind w:firstLine="420" w:firstLineChars="200"/>
        <w:rPr>
          <w:rFonts w:ascii="Times New Roman" w:hAnsi="Times New Roman"/>
          <w:szCs w:val="21"/>
        </w:rPr>
      </w:pPr>
      <w:r>
        <w:rPr>
          <w:rFonts w:hint="eastAsia" w:ascii="Times New Roman" w:hAnsi="Times New Roman"/>
          <w:szCs w:val="21"/>
        </w:rPr>
        <w:t>重庆市荣昌区广顺街道黄家冲村九社北段陶瓷用砂岩矿</w:t>
      </w:r>
      <w:r>
        <w:rPr>
          <w:rFonts w:ascii="Times New Roman" w:hAnsi="Times New Roman"/>
          <w:szCs w:val="21"/>
        </w:rPr>
        <w:t>采矿权位于</w:t>
      </w:r>
      <w:r>
        <w:rPr>
          <w:rFonts w:hint="eastAsia" w:ascii="Times New Roman" w:hAnsi="Times New Roman"/>
          <w:szCs w:val="21"/>
        </w:rPr>
        <w:t>重庆市荣昌区广顺街道黄家冲村九社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重庆市荣昌区公共资源交易中心</w:t>
      </w:r>
      <w:r>
        <w:rPr>
          <w:rFonts w:asciiTheme="minorEastAsia" w:hAnsiTheme="minorEastAsia"/>
          <w:szCs w:val="21"/>
        </w:rPr>
        <w:t>（</w:t>
      </w:r>
      <w:r>
        <w:rPr>
          <w:rFonts w:hint="eastAsia" w:asciiTheme="minorEastAsia" w:hAnsiTheme="minorEastAsia"/>
          <w:szCs w:val="21"/>
        </w:rPr>
        <w:t>http://www.cqggzy.com/rongchangweb，自然资源部门户网站http://www.mnr.gov.cn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2021年06月25日17时</w:t>
      </w:r>
      <w:r>
        <w:rPr>
          <w:rFonts w:asciiTheme="minorEastAsia" w:hAnsiTheme="minorEastAsia"/>
          <w:szCs w:val="21"/>
        </w:rPr>
        <w:t>-</w:t>
      </w:r>
      <w:r>
        <w:rPr>
          <w:rFonts w:hint="eastAsia" w:asciiTheme="minorEastAsia" w:hAnsiTheme="minorEastAsia"/>
          <w:szCs w:val="21"/>
        </w:rPr>
        <w:t>2021年07月23日17时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重庆市荣昌区广顺街道黄家冲村九社北段陶瓷用砂岩矿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重庆市荣昌区广顺街道黄家冲村九社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3134.72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0.1217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500米至418米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陶瓷用砂岩、建筑用砂岩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979.6万吨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60万吨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3252772.62</w:t>
            </w:r>
          </w:p>
        </w:tc>
        <w:tc>
          <w:p>
            <w:pPr>
              <w:spacing w:line="360" w:lineRule="exact"/>
              <w:jc w:val="center"/>
              <w:rPr>
                <w:rFonts w:ascii="Times New Roman" w:hAnsi="Times New Roman"/>
                <w:szCs w:val="21"/>
              </w:rPr>
            </w:pPr>
            <w:r>
              <w:rPr>
                <w:rFonts w:hint="eastAsia" w:ascii="Times New Roman" w:hAnsi="Times New Roman"/>
                <w:szCs w:val="21"/>
              </w:rPr>
              <w:t>35546953.2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3252816.09</w:t>
            </w:r>
          </w:p>
        </w:tc>
        <w:tc>
          <w:p>
            <w:pPr>
              <w:spacing w:line="360" w:lineRule="exact"/>
              <w:jc w:val="center"/>
              <w:rPr>
                <w:rFonts w:ascii="Times New Roman" w:hAnsi="Times New Roman"/>
                <w:szCs w:val="21"/>
              </w:rPr>
            </w:pPr>
            <w:r>
              <w:rPr>
                <w:rFonts w:hint="eastAsia" w:ascii="Times New Roman" w:hAnsi="Times New Roman"/>
                <w:szCs w:val="21"/>
              </w:rPr>
              <w:t>35546989.06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3252928.91</w:t>
            </w:r>
          </w:p>
        </w:tc>
        <w:tc>
          <w:p>
            <w:pPr>
              <w:spacing w:line="360" w:lineRule="exact"/>
              <w:jc w:val="center"/>
              <w:rPr>
                <w:rFonts w:ascii="Times New Roman" w:hAnsi="Times New Roman"/>
                <w:szCs w:val="21"/>
              </w:rPr>
            </w:pPr>
            <w:r>
              <w:rPr>
                <w:rFonts w:hint="eastAsia" w:ascii="Times New Roman" w:hAnsi="Times New Roman"/>
                <w:szCs w:val="21"/>
              </w:rPr>
              <w:t>35546958.68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3253015.36</w:t>
            </w:r>
          </w:p>
        </w:tc>
        <w:tc>
          <w:p>
            <w:pPr>
              <w:spacing w:line="360" w:lineRule="exact"/>
              <w:jc w:val="center"/>
              <w:rPr>
                <w:rFonts w:ascii="Times New Roman" w:hAnsi="Times New Roman"/>
                <w:szCs w:val="21"/>
              </w:rPr>
            </w:pPr>
            <w:r>
              <w:rPr>
                <w:rFonts w:hint="eastAsia" w:ascii="Times New Roman" w:hAnsi="Times New Roman"/>
                <w:szCs w:val="21"/>
              </w:rPr>
              <w:t>35546997.03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3253054.69</w:t>
            </w:r>
          </w:p>
        </w:tc>
        <w:tc>
          <w:p>
            <w:pPr>
              <w:spacing w:line="360" w:lineRule="exact"/>
              <w:jc w:val="center"/>
              <w:rPr>
                <w:rFonts w:ascii="Times New Roman" w:hAnsi="Times New Roman"/>
                <w:szCs w:val="21"/>
              </w:rPr>
            </w:pPr>
            <w:r>
              <w:rPr>
                <w:rFonts w:hint="eastAsia" w:ascii="Times New Roman" w:hAnsi="Times New Roman"/>
                <w:szCs w:val="21"/>
              </w:rPr>
              <w:t>35547031.88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3253198.13</w:t>
            </w:r>
          </w:p>
        </w:tc>
        <w:tc>
          <w:p>
            <w:pPr>
              <w:spacing w:line="360" w:lineRule="exact"/>
              <w:jc w:val="center"/>
              <w:rPr>
                <w:rFonts w:ascii="Times New Roman" w:hAnsi="Times New Roman"/>
                <w:szCs w:val="21"/>
              </w:rPr>
            </w:pPr>
            <w:r>
              <w:rPr>
                <w:rFonts w:hint="eastAsia" w:ascii="Times New Roman" w:hAnsi="Times New Roman"/>
                <w:szCs w:val="21"/>
              </w:rPr>
              <w:t>35547021.35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3253273.47</w:t>
            </w:r>
          </w:p>
        </w:tc>
        <w:tc>
          <w:p>
            <w:pPr>
              <w:spacing w:line="360" w:lineRule="exact"/>
              <w:jc w:val="center"/>
              <w:rPr>
                <w:rFonts w:ascii="Times New Roman" w:hAnsi="Times New Roman"/>
                <w:szCs w:val="21"/>
              </w:rPr>
            </w:pPr>
            <w:r>
              <w:rPr>
                <w:rFonts w:hint="eastAsia" w:ascii="Times New Roman" w:hAnsi="Times New Roman"/>
                <w:szCs w:val="21"/>
              </w:rPr>
              <w:t>35547232.95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3253133.43</w:t>
            </w:r>
          </w:p>
        </w:tc>
        <w:tc>
          <w:p>
            <w:pPr>
              <w:spacing w:line="360" w:lineRule="exact"/>
              <w:jc w:val="center"/>
              <w:rPr>
                <w:rFonts w:ascii="Times New Roman" w:hAnsi="Times New Roman"/>
                <w:szCs w:val="21"/>
              </w:rPr>
            </w:pPr>
            <w:r>
              <w:rPr>
                <w:rFonts w:hint="eastAsia" w:ascii="Times New Roman" w:hAnsi="Times New Roman"/>
                <w:szCs w:val="21"/>
              </w:rPr>
              <w:t>35547305.04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3253016.98</w:t>
            </w:r>
          </w:p>
        </w:tc>
        <w:tc>
          <w:p>
            <w:pPr>
              <w:spacing w:line="360" w:lineRule="exact"/>
              <w:jc w:val="center"/>
              <w:rPr>
                <w:rFonts w:ascii="Times New Roman" w:hAnsi="Times New Roman"/>
                <w:szCs w:val="21"/>
              </w:rPr>
            </w:pPr>
            <w:r>
              <w:rPr>
                <w:rFonts w:hint="eastAsia" w:ascii="Times New Roman" w:hAnsi="Times New Roman"/>
                <w:szCs w:val="21"/>
              </w:rPr>
              <w:t>35547174.42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3252765.15</w:t>
            </w:r>
          </w:p>
        </w:tc>
        <w:tc>
          <w:p>
            <w:pPr>
              <w:spacing w:line="360" w:lineRule="exact"/>
              <w:jc w:val="center"/>
              <w:rPr>
                <w:rFonts w:ascii="Times New Roman" w:hAnsi="Times New Roman"/>
                <w:szCs w:val="21"/>
              </w:rPr>
            </w:pPr>
            <w:r>
              <w:rPr>
                <w:rFonts w:hint="eastAsia" w:ascii="Times New Roman" w:hAnsi="Times New Roman"/>
                <w:szCs w:val="21"/>
              </w:rPr>
              <w:t>35547205.75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3252711.77</w:t>
            </w:r>
          </w:p>
        </w:tc>
        <w:tc>
          <w:p>
            <w:pPr>
              <w:spacing w:line="360" w:lineRule="exact"/>
              <w:jc w:val="center"/>
              <w:rPr>
                <w:rFonts w:ascii="Times New Roman" w:hAnsi="Times New Roman"/>
                <w:szCs w:val="21"/>
              </w:rPr>
            </w:pPr>
            <w:r>
              <w:rPr>
                <w:rFonts w:hint="eastAsia" w:ascii="Times New Roman" w:hAnsi="Times New Roman"/>
                <w:szCs w:val="21"/>
              </w:rPr>
              <w:t>35547139.65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3252748.27</w:t>
            </w:r>
          </w:p>
        </w:tc>
        <w:tc>
          <w:p>
            <w:pPr>
              <w:spacing w:line="360" w:lineRule="exact"/>
              <w:jc w:val="center"/>
              <w:rPr>
                <w:rFonts w:ascii="Times New Roman" w:hAnsi="Times New Roman"/>
                <w:szCs w:val="21"/>
              </w:rPr>
            </w:pPr>
            <w:r>
              <w:rPr>
                <w:rFonts w:hint="eastAsia" w:ascii="Times New Roman" w:hAnsi="Times New Roman"/>
                <w:szCs w:val="21"/>
              </w:rPr>
              <w:t>35547045.02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13</w:t>
            </w:r>
          </w:p>
        </w:tc>
        <w:tc>
          <w:tcPr>
            <w:gridSpan w:val="2"/>
          </w:tcPr>
          <w:p>
            <w:pPr>
              <w:spacing w:line="360" w:lineRule="exact"/>
              <w:jc w:val="center"/>
              <w:rPr>
                <w:rFonts w:ascii="Times New Roman" w:hAnsi="Times New Roman"/>
                <w:szCs w:val="21"/>
              </w:rPr>
            </w:pPr>
            <w:r>
              <w:rPr>
                <w:rFonts w:hint="eastAsia" w:ascii="Times New Roman" w:hAnsi="Times New Roman"/>
                <w:szCs w:val="21"/>
              </w:rPr>
              <w:t>3252651.48</w:t>
            </w:r>
          </w:p>
        </w:tc>
        <w:tc>
          <w:p>
            <w:pPr>
              <w:spacing w:line="360" w:lineRule="exact"/>
              <w:jc w:val="center"/>
              <w:rPr>
                <w:rFonts w:ascii="Times New Roman" w:hAnsi="Times New Roman"/>
                <w:szCs w:val="21"/>
              </w:rPr>
            </w:pPr>
            <w:r>
              <w:rPr>
                <w:rFonts w:hint="eastAsia" w:ascii="Times New Roman" w:hAnsi="Times New Roman"/>
                <w:szCs w:val="21"/>
              </w:rPr>
              <w:t>35546920.55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14</w:t>
            </w:r>
          </w:p>
        </w:tc>
        <w:tc>
          <w:tcPr>
            <w:gridSpan w:val="2"/>
          </w:tcPr>
          <w:p>
            <w:pPr>
              <w:spacing w:line="360" w:lineRule="exact"/>
              <w:jc w:val="center"/>
              <w:rPr>
                <w:rFonts w:ascii="Times New Roman" w:hAnsi="Times New Roman"/>
                <w:szCs w:val="21"/>
              </w:rPr>
            </w:pPr>
            <w:r>
              <w:rPr>
                <w:rFonts w:hint="eastAsia" w:ascii="Times New Roman" w:hAnsi="Times New Roman"/>
                <w:szCs w:val="21"/>
              </w:rPr>
              <w:t>3252715.13</w:t>
            </w:r>
          </w:p>
        </w:tc>
        <w:tc>
          <w:p>
            <w:pPr>
              <w:spacing w:line="360" w:lineRule="exact"/>
              <w:jc w:val="center"/>
              <w:rPr>
                <w:rFonts w:ascii="Times New Roman" w:hAnsi="Times New Roman"/>
                <w:szCs w:val="21"/>
              </w:rPr>
            </w:pPr>
            <w:r>
              <w:rPr>
                <w:rFonts w:hint="eastAsia" w:ascii="Times New Roman" w:hAnsi="Times New Roman"/>
                <w:szCs w:val="21"/>
              </w:rPr>
              <w:t>35546867.49</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重庆市荣昌区规划和自然资源局</w:t>
      </w:r>
      <w:r>
        <w:rPr>
          <w:rFonts w:asciiTheme="minorEastAsia" w:hAnsiTheme="minorEastAsia"/>
          <w:szCs w:val="21"/>
        </w:rPr>
        <w:t>，采矿权出让承办机构为</w:t>
      </w:r>
      <w:r>
        <w:rPr>
          <w:rFonts w:hint="eastAsia" w:asciiTheme="minorEastAsia" w:hAnsiTheme="minorEastAsia"/>
          <w:szCs w:val="21"/>
        </w:rPr>
        <w:t>重庆市荣昌区公共资源交易中心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重庆市荣昌区规划和自然资源局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重庆市荣昌区昌元街道海棠社区迎宾大道20号</w:t>
      </w:r>
      <w:r>
        <w:rPr>
          <w:rFonts w:asciiTheme="minorEastAsia" w:hAnsiTheme="minorEastAsia"/>
          <w:szCs w:val="21"/>
        </w:rPr>
        <w:t>，联系人：</w:t>
      </w:r>
      <w:r>
        <w:rPr>
          <w:rFonts w:hint="eastAsia" w:cs="宋体" w:asciiTheme="minorEastAsia" w:hAnsiTheme="minorEastAsia"/>
          <w:szCs w:val="21"/>
        </w:rPr>
        <w:t>李志</w:t>
      </w:r>
      <w:r>
        <w:rPr>
          <w:rFonts w:asciiTheme="minorEastAsia" w:hAnsiTheme="minorEastAsia"/>
          <w:szCs w:val="21"/>
        </w:rPr>
        <w:t>，联系电话：</w:t>
      </w:r>
      <w:r>
        <w:rPr>
          <w:rFonts w:hint="eastAsia" w:asciiTheme="minorEastAsia" w:hAnsiTheme="minorEastAsia"/>
          <w:szCs w:val="21"/>
        </w:rPr>
        <w:t>023-46736033</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重庆市荣昌区公共资源交易中心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重庆市荣昌区昌元街道迎宾大道兴荣大厦</w:t>
      </w:r>
      <w:r>
        <w:rPr>
          <w:rFonts w:asciiTheme="minorEastAsia" w:hAnsiTheme="minorEastAsia"/>
          <w:szCs w:val="21"/>
        </w:rPr>
        <w:t>，联系人：</w:t>
      </w:r>
      <w:r>
        <w:rPr>
          <w:rFonts w:hint="eastAsia" w:asciiTheme="minorEastAsia" w:hAnsiTheme="minorEastAsia"/>
          <w:szCs w:val="21"/>
        </w:rPr>
        <w:t>刘女士、张先生</w:t>
      </w:r>
      <w:r>
        <w:rPr>
          <w:rFonts w:asciiTheme="minorEastAsia" w:hAnsiTheme="minorEastAsia"/>
          <w:szCs w:val="21"/>
        </w:rPr>
        <w:t>，联系电话：</w:t>
      </w:r>
      <w:r>
        <w:rPr>
          <w:rFonts w:hint="eastAsia" w:asciiTheme="minorEastAsia" w:hAnsiTheme="minorEastAsia"/>
          <w:szCs w:val="21"/>
        </w:rPr>
        <w:t>023-46789811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2021年06月25日17时</w:t>
      </w:r>
      <w:r>
        <w:rPr>
          <w:rFonts w:ascii="Times New Roman" w:hAnsi="Times New Roman" w:cs="Times New Roman"/>
          <w:szCs w:val="21"/>
        </w:rPr>
        <w:t>-</w:t>
      </w:r>
      <w:r>
        <w:rPr>
          <w:rFonts w:hint="eastAsia" w:ascii="Times New Roman" w:hAnsi="Times New Roman" w:cs="Times New Roman"/>
          <w:szCs w:val="21"/>
        </w:rPr>
        <w:t>2021年07月23日17时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重庆市荣昌区公共资源交易中心（重庆市荣昌区昌元街道迎宾大道兴荣大厦）</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刘女士</w:t>
      </w:r>
      <w:r>
        <w:rPr>
          <w:rFonts w:ascii="Times New Roman" w:hAnsi="Times New Roman" w:cs="Times New Roman"/>
          <w:szCs w:val="21"/>
        </w:rPr>
        <w:t>，联系电话：</w:t>
      </w:r>
      <w:r>
        <w:rPr>
          <w:rFonts w:hint="eastAsia" w:ascii="Times New Roman" w:hAnsi="Times New Roman" w:cs="Times New Roman"/>
          <w:szCs w:val="21"/>
        </w:rPr>
        <w:t>023-46789811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重庆市荣昌区公共资源交易中心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627</w:t>
      </w:r>
      <w:r>
        <w:rPr>
          <w:rFonts w:ascii="Times New Roman" w:hAnsi="Times New Roman" w:cs="Times New Roman"/>
          <w:szCs w:val="21"/>
        </w:rPr>
        <w:t>万元（大写：</w:t>
      </w:r>
      <w:r>
        <w:rPr>
          <w:rFonts w:hint="eastAsia" w:ascii="宋体" w:hAnsi="宋体" w:eastAsia="宋体" w:cs="宋体"/>
          <w:szCs w:val="21"/>
        </w:rPr>
        <w:t>陆佰贰拾柒万元整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重庆市荣昌区公共资源交易中心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2021年07月23日17时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保证金户名：重庆市荣昌区公共资源交易中心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开户行：中国农业银行昌州支行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帐号：31-171701040001881 。</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保证金户名：重庆市荣昌区公共资源交易中心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开户行：中国建设银行荣昌支行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帐号：50001173600050206823。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保证金户名：重庆市荣昌区公共资源交易中心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开户行：中国工商银行荣昌支行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帐号：3100097009200019709。</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保证金户名：重庆市荣昌区公共资源交易中心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开户行：重庆农村商业银行荣昌支行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帐号：1901040120010005391。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保证金户名：重庆市荣昌区公共资源交易中心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开户行：中国银行荣昌支行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帐号：113015831004。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重庆市荣昌区公共资源交易中心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30万</w:t>
      </w:r>
      <w:r>
        <w:rPr>
          <w:rFonts w:ascii="Times New Roman" w:hAnsi="Times New Roman" w:cs="Times New Roman"/>
          <w:szCs w:val="21"/>
        </w:rPr>
        <w:t>元。拍卖时间为</w:t>
      </w:r>
      <w:r>
        <w:rPr>
          <w:rFonts w:hint="eastAsia" w:ascii="Times New Roman" w:hAnsi="Times New Roman" w:cs="Times New Roman"/>
          <w:szCs w:val="21"/>
        </w:rPr>
        <w:t>2021年07月26日10时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重庆市荣昌区公共资源交易中心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三期缴纳采矿权出让收益：第一期自采矿权出让合同签订之日起7个工作日内缴纳出让收益总额的40%；第二期自采矿权出让合同签订之日起一年内缴纳出让收益总额的35%；第三期自采矿权出让合同签订之日起两年内缴纳出让收益总额的25%</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（一）根据该宗采矿权出让前期报告等资料，该矿山设计为露天开采陶瓷用砂岩，伴生矿种为建筑用砂岩，划定矿区范围内共占用陶瓷用砂岩控制资源量为292.50万吨，建筑用砂岩控制资源量为687.10万吨。</w:t>
      </w:r>
      <w:r>
        <w:rPr>
          <w:rFonts w:hint="eastAsia" w:ascii="Times New Roman" w:hAnsi="Times New Roman" w:cs="Times New Roman"/>
          <w:szCs w:val="21"/>
        </w:rPr>
        <w:cr/>
      </w:r>
      <w:r>
        <w:rPr>
          <w:rFonts w:hint="eastAsia" w:ascii="Times New Roman" w:hAnsi="Times New Roman" w:cs="Times New Roman"/>
          <w:szCs w:val="21"/>
        </w:rPr>
        <w:t>
（二）该采矿权为新建矿山，竞买申请人须认真详读出让文件、了解矿山基本情况，竞得后除承担成交价外，还需另外支付采矿权出让前期技术报告编制费用人民币17.42万元。</w:t>
      </w:r>
      <w:r>
        <w:rPr>
          <w:rFonts w:hint="eastAsia" w:ascii="Times New Roman" w:hAnsi="Times New Roman" w:cs="Times New Roman"/>
          <w:szCs w:val="21"/>
        </w:rPr>
        <w:cr/>
      </w:r>
      <w:r>
        <w:rPr>
          <w:rFonts w:hint="eastAsia" w:ascii="Times New Roman" w:hAnsi="Times New Roman" w:cs="Times New Roman"/>
          <w:szCs w:val="21"/>
        </w:rPr>
        <w:t>
（三）竞得人须在该宗采矿权成交后20个工作日内按照《重庆市财政局重庆市国土资源和房屋管理局关于转发〈矿业权出让收益征收管理暂行办法〉的通知》（渝财建〔2017〕584号）文件规定缴纳不低于20%的采矿权出让收益，否则将视为违约，收回成交确认书并取消交易。分三期缴纳采矿权出让收益：第一期自采矿权出让合同签订之日起7个工作日内缴纳出让收益总额的40%；第二期自采矿权出让合同签订之日起一年内缴纳出让收益总额的35%；第三期自采矿权出让合同签订之日起两年内缴纳出让收益总额的25%。</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重庆市荣昌区规划和自然资源局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重庆市荣昌区公共资源交易中心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重庆市荣昌区广顺街道黄家冲村九社北段陶瓷用砂岩矿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11245D97"/>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陈余</cp:lastModifiedBy>
  <dcterms:modified xsi:type="dcterms:W3CDTF">2021-06-25T09:12:48Z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