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渝矿采出字〔2021〕（垫江）1号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2021年06月29日12时</w:t>
      </w:r>
      <w:r>
        <w:rPr>
          <w:rFonts w:asciiTheme="minorEastAsia" w:hAnsiTheme="minorEastAsia"/>
          <w:sz w:val="24"/>
        </w:rPr>
        <w:t>-</w:t>
      </w:r>
      <w:r>
        <w:rPr>
          <w:rFonts w:hint="eastAsia" w:asciiTheme="minorEastAsia" w:hAnsiTheme="minorEastAsia"/>
          <w:sz w:val="24"/>
        </w:rPr>
        <w:t>2021年07月27日12时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垫江县公共资源交易中心</w:t>
      </w:r>
      <w:r>
        <w:rPr>
          <w:rFonts w:asciiTheme="minorEastAsia" w:hAnsiTheme="minorEastAsia"/>
          <w:sz w:val="24"/>
        </w:rPr>
        <w:t>索取相关资料并进行报名。地址：</w:t>
      </w:r>
      <w:r>
        <w:rPr>
          <w:rFonts w:hint="eastAsia" w:asciiTheme="minorEastAsia" w:hAnsiTheme="minorEastAsia"/>
          <w:sz w:val="24"/>
        </w:rPr>
        <w:t>垫江县桂西大道南阳公园机关办公中心2号楼2楼</w:t>
      </w:r>
      <w:r>
        <w:rPr>
          <w:rFonts w:asciiTheme="minorEastAsia" w:hAnsiTheme="minorEastAsia"/>
          <w:sz w:val="24"/>
        </w:rPr>
        <w:t>，联系电话：</w:t>
      </w:r>
      <w:r>
        <w:rPr>
          <w:rFonts w:hint="eastAsia" w:asciiTheme="minorEastAsia" w:hAnsiTheme="minorEastAsia"/>
          <w:sz w:val="24"/>
        </w:rPr>
        <w:t>023-74528621</w:t>
      </w:r>
      <w:r>
        <w:rPr>
          <w:rFonts w:asciiTheme="minorEastAsia" w:hAnsiTheme="minorEastAsia"/>
          <w:sz w:val="24"/>
        </w:rPr>
        <w:t>，联系人：</w:t>
      </w:r>
      <w:r>
        <w:rPr>
          <w:rFonts w:hint="eastAsia" w:asciiTheme="minorEastAsia" w:hAnsiTheme="minorEastAsia"/>
          <w:sz w:val="24"/>
        </w:rPr>
        <w:t>程老师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同步发布的网站：重庆市规划和自然资源局网站：http://ghzrzyj.cq.gov.cn、垫江县公共资源交易中心</w:t>
      </w:r>
      <w:r>
        <w:rPr>
          <w:rFonts w:asciiTheme="minorEastAsia" w:hAnsiTheme="minorEastAsia"/>
          <w:sz w:val="24"/>
        </w:rPr>
        <w:t>网站：</w:t>
      </w:r>
      <w:r>
        <w:rPr>
          <w:rFonts w:hint="eastAsia" w:asciiTheme="minorEastAsia" w:hAnsiTheme="minorEastAsia"/>
          <w:sz w:val="24"/>
        </w:rPr>
        <w:t>https://www.cqggzy.com/dianjiangweb、其他渠道：重庆市垫江县人民政府网 ：https://www.cqsdj.gov.cn</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DJGC202101</w:t>
            </w:r>
          </w:p>
        </w:tc>
        <w:tc>
          <w:tcPr>
            <w:tcW w:w="1510" w:type="dxa"/>
            <w:vAlign w:val="center"/>
          </w:tcPr>
          <w:p>
            <w:pPr>
              <w:jc w:val="center"/>
              <w:rPr>
                <w:rFonts w:ascii="Times New Roman" w:hAnsi="Times New Roman"/>
                <w:szCs w:val="21"/>
              </w:rPr>
            </w:pPr>
            <w:r>
              <w:rPr>
                <w:rFonts w:hint="eastAsia" w:ascii="Times New Roman" w:hAnsi="Times New Roman"/>
                <w:szCs w:val="21"/>
              </w:rPr>
              <w:t>垫江县三溪镇箐口社区罗家坡建筑石料用灰岩矿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垫江县三溪镇箐口社区</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5059.6万吨</w:t>
            </w:r>
          </w:p>
        </w:tc>
        <w:tc>
          <w:tcPr>
            <w:tcW w:w="1343" w:type="dxa"/>
            <w:vAlign w:val="center"/>
          </w:tcPr>
          <w:p>
            <w:pPr>
              <w:jc w:val="center"/>
              <w:rPr>
                <w:rFonts w:ascii="Times New Roman" w:hAnsi="Times New Roman"/>
                <w:szCs w:val="21"/>
              </w:rPr>
            </w:pPr>
            <w:r>
              <w:rPr>
                <w:rFonts w:hint="eastAsia" w:ascii="Times New Roman" w:hAnsi="Times New Roman"/>
                <w:szCs w:val="21"/>
              </w:rPr>
              <w:t>0.3202</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645米至</w:t>
            </w:r>
            <w:r>
              <w:rPr>
                <w:rFonts w:hint="eastAsia" w:ascii="Times New Roman" w:hAnsi="Times New Roman"/>
                <w:lang w:val="en-US" w:eastAsia="zh-CN"/>
              </w:rPr>
              <w:t>+</w:t>
            </w:r>
            <w:r>
              <w:rPr>
                <w:rFonts w:hint="eastAsia" w:ascii="Times New Roman" w:hAnsi="Times New Roman"/>
              </w:rPr>
              <w:t>515米</w:t>
            </w:r>
          </w:p>
        </w:tc>
        <w:tc>
          <w:tcPr>
            <w:tcW w:w="1486" w:type="dxa"/>
            <w:vAlign w:val="center"/>
          </w:tcPr>
          <w:p>
            <w:pPr>
              <w:jc w:val="center"/>
              <w:rPr>
                <w:rFonts w:ascii="Times New Roman" w:hAnsi="Times New Roman"/>
                <w:szCs w:val="21"/>
              </w:rPr>
            </w:pPr>
            <w:r>
              <w:rPr>
                <w:rFonts w:hint="eastAsia" w:ascii="Times New Roman" w:hAnsi="Times New Roman"/>
                <w:szCs w:val="21"/>
              </w:rPr>
              <w:t>150万吨/年</w:t>
            </w:r>
          </w:p>
        </w:tc>
        <w:tc>
          <w:tcPr>
            <w:tcW w:w="851" w:type="dxa"/>
            <w:vAlign w:val="center"/>
          </w:tcPr>
          <w:p>
            <w:pPr>
              <w:jc w:val="center"/>
              <w:rPr>
                <w:rFonts w:ascii="Times New Roman" w:hAnsi="Times New Roman"/>
                <w:szCs w:val="21"/>
              </w:rPr>
            </w:pPr>
            <w:r>
              <w:rPr>
                <w:rFonts w:hint="eastAsia" w:ascii="Times New Roman" w:hAnsi="Times New Roman"/>
                <w:szCs w:val="21"/>
              </w:rPr>
              <w:t>29.9</w:t>
            </w:r>
          </w:p>
        </w:tc>
        <w:tc>
          <w:tcPr>
            <w:tcW w:w="1134" w:type="dxa"/>
            <w:vAlign w:val="center"/>
          </w:tcPr>
          <w:p>
            <w:pPr>
              <w:jc w:val="center"/>
              <w:rPr>
                <w:rFonts w:ascii="Times New Roman" w:hAnsi="Times New Roman"/>
                <w:szCs w:val="21"/>
              </w:rPr>
            </w:pPr>
            <w:r>
              <w:rPr>
                <w:rFonts w:hint="eastAsia" w:ascii="Times New Roman" w:hAnsi="Times New Roman"/>
                <w:szCs w:val="21"/>
              </w:rPr>
              <w:t>13415</w:t>
            </w:r>
          </w:p>
        </w:tc>
        <w:tc>
          <w:tcPr>
            <w:tcW w:w="916" w:type="dxa"/>
            <w:vAlign w:val="center"/>
          </w:tcPr>
          <w:p>
            <w:pPr>
              <w:jc w:val="center"/>
              <w:rPr>
                <w:rFonts w:ascii="Times New Roman" w:hAnsi="Times New Roman"/>
                <w:szCs w:val="21"/>
              </w:rPr>
            </w:pPr>
            <w:r>
              <w:rPr>
                <w:rFonts w:hint="eastAsia" w:ascii="Times New Roman" w:hAnsi="Times New Roman"/>
                <w:szCs w:val="21"/>
              </w:rPr>
              <w:t>2818</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一、序号DJGC202101 采矿权出让人：</w:t>
      </w:r>
      <w:r>
        <w:rPr>
          <w:rFonts w:hint="eastAsia" w:asciiTheme="minorEastAsia" w:hAnsiTheme="minorEastAsia"/>
          <w:sz w:val="24"/>
          <w:szCs w:val="24"/>
        </w:rPr>
        <w:t>垫江县规划和自然资源局</w:t>
      </w:r>
      <w:r>
        <w:rPr>
          <w:rFonts w:asciiTheme="minorEastAsia" w:hAnsiTheme="minorEastAsia"/>
          <w:sz w:val="24"/>
          <w:szCs w:val="24"/>
        </w:rPr>
        <w:t>，地址：</w:t>
      </w:r>
      <w:r>
        <w:rPr>
          <w:rFonts w:hint="eastAsia" w:cs="宋体" w:asciiTheme="minorEastAsia" w:hAnsiTheme="minorEastAsia"/>
          <w:sz w:val="24"/>
          <w:szCs w:val="24"/>
        </w:rPr>
        <w:t>垫江县桂阳街道桂西大道南段218号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023－74684686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重庆银行垫江县支行</w:t>
      </w:r>
      <w:r>
        <w:rPr>
          <w:rFonts w:asciiTheme="minorEastAsia" w:hAnsiTheme="minorEastAsia"/>
          <w:sz w:val="24"/>
          <w:szCs w:val="24"/>
        </w:rPr>
        <w:t xml:space="preserve"> 帐号：</w:t>
      </w:r>
      <w:r>
        <w:rPr>
          <w:rFonts w:hint="eastAsia" w:asciiTheme="minorEastAsia" w:hAnsiTheme="minorEastAsia"/>
          <w:sz w:val="24"/>
          <w:szCs w:val="24"/>
        </w:rPr>
        <w:t>820101040000584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中国银行重庆垫江县支行</w:t>
      </w:r>
      <w:r>
        <w:rPr>
          <w:rFonts w:asciiTheme="minorEastAsia" w:hAnsiTheme="minorEastAsia"/>
          <w:sz w:val="24"/>
          <w:szCs w:val="24"/>
        </w:rPr>
        <w:t xml:space="preserve"> 帐号：</w:t>
      </w:r>
      <w:r>
        <w:rPr>
          <w:rFonts w:hint="eastAsia" w:asciiTheme="minorEastAsia" w:hAnsiTheme="minorEastAsia"/>
          <w:sz w:val="24"/>
          <w:szCs w:val="24"/>
        </w:rPr>
        <w:t>111616885778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重庆农村商业银行垫江县支行</w:t>
      </w:r>
      <w:r>
        <w:rPr>
          <w:rFonts w:asciiTheme="minorEastAsia" w:hAnsiTheme="minorEastAsia"/>
          <w:sz w:val="24"/>
          <w:szCs w:val="24"/>
        </w:rPr>
        <w:t xml:space="preserve"> 帐号：</w:t>
      </w:r>
      <w:r>
        <w:rPr>
          <w:rFonts w:hint="eastAsia" w:asciiTheme="minorEastAsia" w:hAnsiTheme="minorEastAsia"/>
          <w:sz w:val="24"/>
          <w:szCs w:val="24"/>
        </w:rPr>
        <w:t>2501010120010009065</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2021年07月27日12时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垫江县公共资源交易中心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（三）竞买人（或竞买人的母公司、控股子公司、母公司的控股子公司）须与垫江县人民政府或具有相关产业规划的园区管委会签订《装配式建筑产业园建筑项目》</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（四）竞买人除需缴纳采矿权出让竞买保证金外，还需额外承担垫江县三溪镇政府开展的前期投入搬迁流转费用2104.58万元。</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垫江县规划和自然资源局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垫江县公共资源交易中心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1、该宗采矿权为新建矿山公开出让，实施净矿权出让，竞得人在采矿权成交确认书签订后10个工作日内，支付三溪镇政府开展的前期投入搬迁流转费用2104.58万元。</w:t>
      </w:r>
    </w:p>
    <w:p>
      <w:pPr>
        <w:spacing w:line="360" w:lineRule="exact"/>
        <w:ind w:firstLine="480" w:firstLineChars="200"/>
        <w:rPr>
          <w:rFonts w:hint="eastAsia" w:ascii="Times New Roman" w:hAnsi="Times New Roman"/>
          <w:sz w:val="24"/>
        </w:rPr>
      </w:pPr>
      <w:r>
        <w:rPr>
          <w:rFonts w:hint="eastAsia" w:ascii="Times New Roman" w:hAnsi="Times New Roman"/>
          <w:sz w:val="24"/>
        </w:rPr>
        <w:t>2、竞买申请人参加竞买前，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3、原则上自采矿许可证发证之日起一年内投产，逾期投产的，除政府原因或者不可抗力外，出让人有权解除出让合同并重新公开出让。</w:t>
      </w:r>
    </w:p>
    <w:p>
      <w:pPr>
        <w:spacing w:line="360" w:lineRule="exact"/>
        <w:ind w:firstLine="480" w:firstLineChars="200"/>
        <w:rPr>
          <w:rFonts w:hint="eastAsia" w:ascii="Times New Roman" w:hAnsi="Times New Roman"/>
          <w:sz w:val="24"/>
        </w:rPr>
      </w:pPr>
      <w:r>
        <w:rPr>
          <w:rFonts w:hint="eastAsia" w:ascii="Times New Roman" w:hAnsi="Times New Roman"/>
          <w:sz w:val="24"/>
        </w:rPr>
        <w:t>4、竞得人须自行或委托编制矿山开发利用方案、地质环境恢复治理和土地复垦方案并通过审查，同时按照《矿山地质环境保护规定》等相关规定履行矿山地质环境保护相关义务。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5、采矿权成交确认后，采矿权出让收益均按照八期在连续八年内缴清，每期缴纳时间间隔在12个月内。首期缴纳比例为总出让收益的21%，在出让合同签订后7个工作日内缴纳，第二期缴纳金额比例为总出让收益的18%，第三期缴纳金额比例为总出让收益的16%，第四期缴纳金额比例为总出让收益的15%，第五期缴纳金额比例为总出让收益的11%，第六期缴纳金额比例为总出让收益的8%，第七期缴纳金额比例为总出让收益的6%，第八期缴纳金额比例为总出让收益的5%。</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6、该矿山需按重庆市级绿色矿山标准建设。</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垫江县三溪镇箐口社区罗家坡建筑石料用灰岩矿采矿权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DJGC202101</w:t>
      </w:r>
    </w:p>
    <w:p>
      <w:pPr>
        <w:spacing w:line="360" w:lineRule="exact"/>
        <w:ind w:firstLine="420" w:firstLineChars="200"/>
        <w:rPr>
          <w:rFonts w:ascii="Times New Roman" w:hAnsi="Times New Roman"/>
          <w:szCs w:val="21"/>
        </w:rPr>
      </w:pPr>
      <w:r>
        <w:rPr>
          <w:rFonts w:hint="eastAsia" w:ascii="Times New Roman" w:hAnsi="Times New Roman"/>
          <w:szCs w:val="21"/>
        </w:rPr>
        <w:t>垫江县三溪镇箐口社区罗家坡建筑石料用灰岩矿</w:t>
      </w:r>
      <w:r>
        <w:rPr>
          <w:rFonts w:ascii="Times New Roman" w:hAnsi="Times New Roman"/>
          <w:szCs w:val="21"/>
        </w:rPr>
        <w:t>采矿权位于</w:t>
      </w:r>
      <w:r>
        <w:rPr>
          <w:rFonts w:hint="eastAsia" w:ascii="Times New Roman" w:hAnsi="Times New Roman"/>
          <w:szCs w:val="21"/>
        </w:rPr>
        <w:t>垫江县三溪镇箐口社区</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垫江县公共资源交易中心</w:t>
      </w:r>
      <w:r>
        <w:rPr>
          <w:rFonts w:asciiTheme="minorEastAsia" w:hAnsiTheme="minorEastAsia"/>
          <w:szCs w:val="21"/>
        </w:rPr>
        <w:t>（</w:t>
      </w:r>
      <w:r>
        <w:rPr>
          <w:rFonts w:hint="eastAsia" w:asciiTheme="minorEastAsia" w:hAnsiTheme="minorEastAsia"/>
          <w:szCs w:val="21"/>
        </w:rPr>
        <w:t>https://www.cqggzy.com/dianjiangweb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2021年06月29日12时</w:t>
      </w:r>
      <w:r>
        <w:rPr>
          <w:rFonts w:asciiTheme="minorEastAsia" w:hAnsiTheme="minorEastAsia"/>
          <w:szCs w:val="21"/>
        </w:rPr>
        <w:t>-</w:t>
      </w:r>
      <w:r>
        <w:rPr>
          <w:rFonts w:hint="eastAsia" w:asciiTheme="minorEastAsia" w:hAnsiTheme="minorEastAsia"/>
          <w:szCs w:val="21"/>
        </w:rPr>
        <w:t>2021年07月27日12时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垫江县三溪镇箐口社区罗家坡建筑石料用灰岩矿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垫江县三溪镇箐口社区</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13415</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0.3202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645米至</w:t>
      </w:r>
      <w:r>
        <w:rPr>
          <w:rFonts w:hint="eastAsia" w:ascii="Times New Roman" w:hAnsi="Times New Roman"/>
          <w:lang w:val="en-US" w:eastAsia="zh-CN"/>
        </w:rPr>
        <w:t>+</w:t>
      </w:r>
      <w:r>
        <w:rPr>
          <w:rFonts w:hint="eastAsia" w:ascii="Times New Roman" w:hAnsi="Times New Roman"/>
        </w:rPr>
        <w:t>515米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5059.6万吨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150万吨/年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29.9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3322272.55</w:t>
            </w:r>
          </w:p>
        </w:tc>
        <w:tc>
          <w:p>
            <w:pPr>
              <w:spacing w:line="360" w:lineRule="exact"/>
              <w:jc w:val="center"/>
              <w:rPr>
                <w:rFonts w:ascii="Times New Roman" w:hAnsi="Times New Roman"/>
                <w:szCs w:val="21"/>
              </w:rPr>
            </w:pPr>
            <w:r>
              <w:rPr>
                <w:rFonts w:hint="eastAsia" w:ascii="Times New Roman" w:hAnsi="Times New Roman"/>
                <w:szCs w:val="21"/>
              </w:rPr>
              <w:t>36449650.09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3322382.36</w:t>
            </w:r>
          </w:p>
        </w:tc>
        <w:tc>
          <w:p>
            <w:pPr>
              <w:spacing w:line="360" w:lineRule="exact"/>
              <w:jc w:val="center"/>
              <w:rPr>
                <w:rFonts w:ascii="Times New Roman" w:hAnsi="Times New Roman"/>
                <w:szCs w:val="21"/>
              </w:rPr>
            </w:pPr>
            <w:r>
              <w:rPr>
                <w:rFonts w:hint="eastAsia" w:ascii="Times New Roman" w:hAnsi="Times New Roman"/>
                <w:szCs w:val="21"/>
              </w:rPr>
              <w:t>36449767.83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3322626.98</w:t>
            </w:r>
          </w:p>
        </w:tc>
        <w:tc>
          <w:p>
            <w:pPr>
              <w:spacing w:line="360" w:lineRule="exact"/>
              <w:jc w:val="center"/>
              <w:rPr>
                <w:rFonts w:ascii="Times New Roman" w:hAnsi="Times New Roman"/>
                <w:szCs w:val="21"/>
              </w:rPr>
            </w:pPr>
            <w:r>
              <w:rPr>
                <w:rFonts w:hint="eastAsia" w:ascii="Times New Roman" w:hAnsi="Times New Roman"/>
                <w:szCs w:val="21"/>
              </w:rPr>
              <w:t>36449929.83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3322808.67</w:t>
            </w:r>
          </w:p>
        </w:tc>
        <w:tc>
          <w:p>
            <w:pPr>
              <w:spacing w:line="360" w:lineRule="exact"/>
              <w:jc w:val="center"/>
              <w:rPr>
                <w:rFonts w:ascii="Times New Roman" w:hAnsi="Times New Roman"/>
                <w:szCs w:val="21"/>
              </w:rPr>
            </w:pPr>
            <w:r>
              <w:rPr>
                <w:rFonts w:hint="eastAsia" w:ascii="Times New Roman" w:hAnsi="Times New Roman"/>
                <w:szCs w:val="21"/>
              </w:rPr>
              <w:t>36450036.98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3322906.33</w:t>
            </w:r>
          </w:p>
        </w:tc>
        <w:tc>
          <w:p>
            <w:pPr>
              <w:spacing w:line="360" w:lineRule="exact"/>
              <w:jc w:val="center"/>
              <w:rPr>
                <w:rFonts w:ascii="Times New Roman" w:hAnsi="Times New Roman"/>
                <w:szCs w:val="21"/>
              </w:rPr>
            </w:pPr>
            <w:r>
              <w:rPr>
                <w:rFonts w:hint="eastAsia" w:ascii="Times New Roman" w:hAnsi="Times New Roman"/>
                <w:szCs w:val="21"/>
              </w:rPr>
              <w:t>36449933.93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3322830.39</w:t>
            </w:r>
          </w:p>
        </w:tc>
        <w:tc>
          <w:p>
            <w:pPr>
              <w:spacing w:line="360" w:lineRule="exact"/>
              <w:jc w:val="center"/>
              <w:rPr>
                <w:rFonts w:ascii="Times New Roman" w:hAnsi="Times New Roman"/>
                <w:szCs w:val="21"/>
              </w:rPr>
            </w:pPr>
            <w:r>
              <w:rPr>
                <w:rFonts w:hint="eastAsia" w:ascii="Times New Roman" w:hAnsi="Times New Roman"/>
                <w:szCs w:val="21"/>
              </w:rPr>
              <w:t>36449515.06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3322793.65</w:t>
            </w:r>
          </w:p>
        </w:tc>
        <w:tc>
          <w:p>
            <w:pPr>
              <w:spacing w:line="360" w:lineRule="exact"/>
              <w:jc w:val="center"/>
              <w:rPr>
                <w:rFonts w:ascii="Times New Roman" w:hAnsi="Times New Roman"/>
                <w:szCs w:val="21"/>
              </w:rPr>
            </w:pPr>
            <w:r>
              <w:rPr>
                <w:rFonts w:hint="eastAsia" w:ascii="Times New Roman" w:hAnsi="Times New Roman"/>
                <w:szCs w:val="21"/>
              </w:rPr>
              <w:t>36449442.37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3322754.27</w:t>
            </w:r>
          </w:p>
        </w:tc>
        <w:tc>
          <w:p>
            <w:pPr>
              <w:spacing w:line="360" w:lineRule="exact"/>
              <w:jc w:val="center"/>
              <w:rPr>
                <w:rFonts w:ascii="Times New Roman" w:hAnsi="Times New Roman"/>
                <w:szCs w:val="21"/>
              </w:rPr>
            </w:pPr>
            <w:r>
              <w:rPr>
                <w:rFonts w:hint="eastAsia" w:ascii="Times New Roman" w:hAnsi="Times New Roman"/>
                <w:szCs w:val="21"/>
              </w:rPr>
              <w:t>36449294.73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3322497.86</w:t>
            </w:r>
          </w:p>
        </w:tc>
        <w:tc>
          <w:p>
            <w:pPr>
              <w:spacing w:line="360" w:lineRule="exact"/>
              <w:jc w:val="center"/>
              <w:rPr>
                <w:rFonts w:ascii="Times New Roman" w:hAnsi="Times New Roman"/>
                <w:szCs w:val="21"/>
              </w:rPr>
            </w:pPr>
            <w:r>
              <w:rPr>
                <w:rFonts w:hint="eastAsia" w:ascii="Times New Roman" w:hAnsi="Times New Roman"/>
                <w:szCs w:val="21"/>
              </w:rPr>
              <w:t>36449228.72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3322388.69</w:t>
            </w:r>
          </w:p>
        </w:tc>
        <w:tc>
          <w:p>
            <w:pPr>
              <w:spacing w:line="360" w:lineRule="exact"/>
              <w:jc w:val="center"/>
              <w:rPr>
                <w:rFonts w:ascii="Times New Roman" w:hAnsi="Times New Roman"/>
                <w:szCs w:val="21"/>
              </w:rPr>
            </w:pPr>
            <w:r>
              <w:rPr>
                <w:rFonts w:hint="eastAsia" w:ascii="Times New Roman" w:hAnsi="Times New Roman"/>
                <w:szCs w:val="21"/>
              </w:rPr>
              <w:t>36449317.38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垫江县规划和自然资源局</w:t>
      </w:r>
      <w:r>
        <w:rPr>
          <w:rFonts w:asciiTheme="minorEastAsia" w:hAnsiTheme="minorEastAsia"/>
          <w:szCs w:val="21"/>
        </w:rPr>
        <w:t>，采矿权出让承办机构为</w:t>
      </w:r>
      <w:r>
        <w:rPr>
          <w:rFonts w:hint="eastAsia" w:asciiTheme="minorEastAsia" w:hAnsiTheme="minorEastAsia"/>
          <w:szCs w:val="21"/>
        </w:rPr>
        <w:t>垫江县公共资源交易中心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垫江县规划和自然资源局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垫江县桂阳街道桂西大道南段218号</w:t>
      </w:r>
      <w:r>
        <w:rPr>
          <w:rFonts w:asciiTheme="minorEastAsia" w:hAnsiTheme="minorEastAsia"/>
          <w:szCs w:val="21"/>
        </w:rPr>
        <w:t>，联系人：</w:t>
      </w:r>
      <w:r>
        <w:rPr>
          <w:rFonts w:hint="eastAsia" w:cs="宋体"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023－74684686</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垫江县公共资源交易中心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垫江县桂西大道南阳公园机关办公中心2号楼2楼</w:t>
      </w:r>
      <w:r>
        <w:rPr>
          <w:rFonts w:asciiTheme="minorEastAsia" w:hAnsiTheme="minorEastAsia"/>
          <w:szCs w:val="21"/>
        </w:rPr>
        <w:t>，联系人：</w:t>
      </w:r>
      <w:r>
        <w:rPr>
          <w:rFonts w:hint="eastAsia" w:asciiTheme="minorEastAsia" w:hAnsiTheme="minorEastAsia"/>
          <w:szCs w:val="21"/>
        </w:rPr>
        <w:t>程老师</w:t>
      </w:r>
      <w:r>
        <w:rPr>
          <w:rFonts w:asciiTheme="minorEastAsia" w:hAnsiTheme="minorEastAsia"/>
          <w:szCs w:val="21"/>
        </w:rPr>
        <w:t>，联系电话：</w:t>
      </w:r>
      <w:r>
        <w:rPr>
          <w:rFonts w:hint="eastAsia" w:asciiTheme="minorEastAsia" w:hAnsiTheme="minorEastAsia"/>
          <w:szCs w:val="21"/>
        </w:rPr>
        <w:t>023-74528621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（三）竞买人（或竞买人的母公司、控股子公司、母公司的控股子公司）须与垫江县人民政府或具有相关产业规划的园区管委会签订《装配式建筑产业园建筑项目》。</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2021年06月29日12时</w:t>
      </w:r>
      <w:r>
        <w:rPr>
          <w:rFonts w:ascii="Times New Roman" w:hAnsi="Times New Roman" w:cs="Times New Roman"/>
          <w:szCs w:val="21"/>
        </w:rPr>
        <w:t>-</w:t>
      </w:r>
      <w:r>
        <w:rPr>
          <w:rFonts w:hint="eastAsia" w:ascii="Times New Roman" w:hAnsi="Times New Roman" w:cs="Times New Roman"/>
          <w:szCs w:val="21"/>
        </w:rPr>
        <w:t>2021年07月27日12时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重庆市垫江县桂西大道南阳公园机关办公中心2号楼2楼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程老师</w:t>
      </w:r>
      <w:r>
        <w:rPr>
          <w:rFonts w:ascii="Times New Roman" w:hAnsi="Times New Roman" w:cs="Times New Roman"/>
          <w:szCs w:val="21"/>
        </w:rPr>
        <w:t>，联系电话：</w:t>
      </w:r>
      <w:r>
        <w:rPr>
          <w:rFonts w:hint="eastAsia" w:ascii="Times New Roman" w:hAnsi="Times New Roman" w:cs="Times New Roman"/>
          <w:szCs w:val="21"/>
        </w:rPr>
        <w:t>023-74528621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垫江县公共资源交易中心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7、《装配式建筑产业园建筑项目投资协议书》（复印件2份，加盖公章）。</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2818</w:t>
      </w:r>
      <w:r>
        <w:rPr>
          <w:rFonts w:ascii="Times New Roman" w:hAnsi="Times New Roman" w:cs="Times New Roman"/>
          <w:szCs w:val="21"/>
        </w:rPr>
        <w:t>万元（大写：</w:t>
      </w:r>
      <w:r>
        <w:rPr>
          <w:rFonts w:hint="eastAsia" w:ascii="宋体" w:hAnsi="宋体" w:eastAsia="宋体" w:cs="宋体"/>
          <w:szCs w:val="21"/>
        </w:rPr>
        <w:t>贰仟捌佰壹拾捌万元整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垫江县公共资源交易中心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2021年07月27日12时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帐号：820101040000584。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开户行：中国银行重庆垫江县支行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帐号：111616885778。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帐号：2501010120010009065。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垫江县公共资源交易中心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2021年07月27日15时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垫江县公共资源交易中心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宗采矿权成交确认后，采矿权出让收益分八期在连续八年内缴清。每期缴纳时间间隔在12个月内。首期缴纳比例为总出让收益的21%，在出让合同签订后7个工作日内缴纳；剩余七期在采矿权出让合同签订之日起7个顺延年内逐年缴纳，每期缴纳时间间隔在12个月内。首期缴纳金额比例为总出让收益的21%，第二期缴纳金额比例为总出让收益的18%，第三期缴纳金额比例为总出让收益的16%，第四期缴纳金额比例为总出让收益的15%，第五期缴纳金额比例为总出让收益的11%，第六期缴纳金额比例为总出让收益的8%，第七期缴纳金额比例为总出让收益的6%，第八期缴纳金额比例为总出让收益的5%。</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（六）该宗矿权为新设矿权，实施净矿权出让，竞得人除需缴纳采矿权出让收益外，还需全额缴纳三溪镇政府开展的前期投入搬迁流转费用，评估价值2104.58万元。</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1、该宗采矿权为新建矿山公开出让，实施净矿权出让，竞得人在采矿权成交确认书签订后10个工作日内，另行支付三溪镇政府开展的前期投入搬迁流转费用2104.58万元。</w:t>
      </w:r>
      <w:r>
        <w:rPr>
          <w:rFonts w:hint="eastAsia" w:ascii="Times New Roman" w:hAnsi="Times New Roman" w:cs="Times New Roman"/>
          <w:szCs w:val="21"/>
        </w:rPr>
        <w:cr/>
      </w:r>
      <w:r>
        <w:rPr>
          <w:rFonts w:hint="eastAsia" w:ascii="Times New Roman" w:hAnsi="Times New Roman" w:cs="Times New Roman"/>
          <w:szCs w:val="21"/>
        </w:rPr>
        <w:t>
2、竞买申请人参加竞买前，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r>
        <w:rPr>
          <w:rFonts w:hint="eastAsia" w:ascii="Times New Roman" w:hAnsi="Times New Roman" w:cs="Times New Roman"/>
          <w:szCs w:val="21"/>
        </w:rPr>
        <w:cr/>
      </w:r>
      <w:r>
        <w:rPr>
          <w:rFonts w:hint="eastAsia" w:ascii="Times New Roman" w:hAnsi="Times New Roman" w:cs="Times New Roman"/>
          <w:szCs w:val="21"/>
        </w:rPr>
        <w:t>
3、原则上自采矿许可证发证之日起一年内投产，逾期投产的，除政府原因或者不可抗力外，出让人有权解除出让合同并重新公开出让。</w:t>
      </w:r>
      <w:r>
        <w:rPr>
          <w:rFonts w:hint="eastAsia" w:ascii="Times New Roman" w:hAnsi="Times New Roman" w:cs="Times New Roman"/>
          <w:szCs w:val="21"/>
        </w:rPr>
        <w:cr/>
      </w:r>
      <w:r>
        <w:rPr>
          <w:rFonts w:hint="eastAsia" w:ascii="Times New Roman" w:hAnsi="Times New Roman" w:cs="Times New Roman"/>
          <w:szCs w:val="21"/>
        </w:rPr>
        <w:t>
4、竞得人须自行或委托编制矿山开发利用方案、地质环境恢复治理和土地复垦方案并通过审查，同时按照《矿山地质环境保护规定》等相关规定履行矿山地质环境保护相关义务。</w:t>
      </w:r>
      <w:r>
        <w:rPr>
          <w:rFonts w:hint="eastAsia" w:ascii="Times New Roman" w:hAnsi="Times New Roman" w:cs="Times New Roman"/>
          <w:szCs w:val="21"/>
        </w:rPr>
        <w:cr/>
      </w:r>
      <w:r>
        <w:rPr>
          <w:rFonts w:hint="eastAsia" w:ascii="Times New Roman" w:hAnsi="Times New Roman" w:cs="Times New Roman"/>
          <w:szCs w:val="21"/>
        </w:rPr>
        <w:t>
5、采矿权成交确认后，采矿权出让收益均按照八期在连续八年内缴清，每期缴纳时间间隔在12个月内。首期缴纳比例为总出让收益的21%，在出让合同签订后7个工作日内缴纳，第二期缴纳金额比例为总出让收益的18%，第三期缴纳金额比例为总出让收益的16%，第四期缴纳金额比例为总出让收益的15%，第五期缴纳金额比例为总出让收益的11%，第六期缴纳金额比例为总出让收益的8%，第七期缴纳金额比例为总出让收益的6%，第八期缴纳金额比例为总出让收益的5%。</w:t>
      </w:r>
      <w:r>
        <w:rPr>
          <w:rFonts w:hint="eastAsia" w:ascii="Times New Roman" w:hAnsi="Times New Roman" w:cs="Times New Roman"/>
          <w:szCs w:val="21"/>
        </w:rPr>
        <w:cr/>
      </w:r>
      <w:r>
        <w:rPr>
          <w:rFonts w:hint="eastAsia" w:ascii="Times New Roman" w:hAnsi="Times New Roman" w:cs="Times New Roman"/>
          <w:szCs w:val="21"/>
        </w:rPr>
        <w:t>
6、该矿山需按重庆市级绿色矿山标准建设。</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垫江县规划和自然资源局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垫江县公共资源交易中心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垫江县三溪镇箐口社区罗家坡建筑石料用灰岩矿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39C4251C"/>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陈余</cp:lastModifiedBy>
  <dcterms:modified xsi:type="dcterms:W3CDTF">2021-06-29T01:36:36Z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