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渝矿采出字〔2021〕（巴南）1号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2021年07月12日12时</w:t>
      </w:r>
      <w:r>
        <w:rPr>
          <w:rFonts w:asciiTheme="minorEastAsia" w:hAnsiTheme="minorEastAsia"/>
          <w:sz w:val="24"/>
        </w:rPr>
        <w:t>-</w:t>
      </w:r>
      <w:r>
        <w:rPr>
          <w:rFonts w:hint="eastAsia" w:asciiTheme="minorEastAsia" w:hAnsiTheme="minorEastAsia"/>
          <w:sz w:val="24"/>
        </w:rPr>
        <w:t>2021年08月09日12时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重庆市巴南区行政服务和公共资源交易中心</w:t>
      </w:r>
      <w:r>
        <w:rPr>
          <w:rFonts w:asciiTheme="minorEastAsia" w:hAnsiTheme="minorEastAsia"/>
          <w:sz w:val="24"/>
        </w:rPr>
        <w:t>索取相关资料并进行报名。地址：</w:t>
      </w:r>
      <w:r>
        <w:rPr>
          <w:rFonts w:hint="eastAsia" w:asciiTheme="minorEastAsia" w:hAnsiTheme="minorEastAsia"/>
          <w:sz w:val="24"/>
        </w:rPr>
        <w:t>重庆市巴南区龙洲湾街道公园北路12号</w:t>
      </w:r>
      <w:r>
        <w:rPr>
          <w:rFonts w:asciiTheme="minorEastAsia" w:hAnsiTheme="minorEastAsia"/>
          <w:sz w:val="24"/>
        </w:rPr>
        <w:t>，联系电话：</w:t>
      </w:r>
      <w:r>
        <w:rPr>
          <w:rFonts w:hint="eastAsia" w:asciiTheme="minorEastAsia" w:hAnsiTheme="minorEastAsia"/>
          <w:sz w:val="24"/>
        </w:rPr>
        <w:t>023-66237320</w:t>
      </w:r>
      <w:r>
        <w:rPr>
          <w:rFonts w:asciiTheme="minorEastAsia" w:hAnsiTheme="minorEastAsia"/>
          <w:sz w:val="24"/>
        </w:rPr>
        <w:t>，联系人：</w:t>
      </w:r>
      <w:r>
        <w:rPr>
          <w:rFonts w:hint="eastAsia" w:asciiTheme="minorEastAsia" w:hAnsiTheme="minorEastAsia"/>
          <w:sz w:val="24"/>
        </w:rPr>
        <w:t>王老师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同步发布的网站：重庆市规划和自然资源局网站：http://ghzrzyj.cq.gov.cn、重庆市巴南区行政服务和公共资源交易中心</w:t>
      </w:r>
      <w:r>
        <w:rPr>
          <w:rFonts w:asciiTheme="minorEastAsia" w:hAnsiTheme="minorEastAsia"/>
          <w:sz w:val="24"/>
        </w:rPr>
        <w:t>网站：</w:t>
      </w:r>
      <w:r>
        <w:rPr>
          <w:rFonts w:hint="eastAsia" w:asciiTheme="minorEastAsia" w:hAnsiTheme="minorEastAsia"/>
          <w:sz w:val="24"/>
        </w:rPr>
        <w:t xml:space="preserve">https：//www.cqggzy.com/bannanweb/、其他渠道 </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BNGC202101</w:t>
            </w:r>
          </w:p>
        </w:tc>
        <w:tc>
          <w:tcPr>
            <w:tcW w:w="1510" w:type="dxa"/>
            <w:vAlign w:val="center"/>
          </w:tcPr>
          <w:p>
            <w:pPr>
              <w:jc w:val="center"/>
              <w:rPr>
                <w:rFonts w:ascii="Times New Roman" w:hAnsi="Times New Roman"/>
                <w:szCs w:val="21"/>
              </w:rPr>
            </w:pPr>
            <w:r>
              <w:rPr>
                <w:rFonts w:hint="eastAsia" w:ascii="Times New Roman" w:hAnsi="Times New Roman"/>
                <w:szCs w:val="21"/>
              </w:rPr>
              <w:t>重庆市巴南区姜家镇槐园村柏杨湾社建筑石料用灰岩矿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重庆市巴南区姜家镇槐园村柏杨湾社</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建筑石料用灰岩矿</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1229.6万吨</w:t>
            </w:r>
          </w:p>
        </w:tc>
        <w:tc>
          <w:tcPr>
            <w:tcW w:w="1343" w:type="dxa"/>
            <w:vAlign w:val="center"/>
          </w:tcPr>
          <w:p>
            <w:pPr>
              <w:jc w:val="center"/>
              <w:rPr>
                <w:rFonts w:ascii="Times New Roman" w:hAnsi="Times New Roman"/>
                <w:szCs w:val="21"/>
              </w:rPr>
            </w:pPr>
            <w:r>
              <w:rPr>
                <w:rFonts w:hint="eastAsia" w:ascii="Times New Roman" w:hAnsi="Times New Roman"/>
                <w:szCs w:val="21"/>
              </w:rPr>
              <w:t>0.1793</w:t>
            </w:r>
          </w:p>
        </w:tc>
        <w:tc>
          <w:tcPr>
            <w:tcW w:w="1140" w:type="dxa"/>
            <w:vAlign w:val="center"/>
          </w:tcPr>
          <w:p>
            <w:pPr>
              <w:jc w:val="center"/>
              <w:rPr>
                <w:rFonts w:ascii="Times New Roman" w:hAnsi="Times New Roman"/>
              </w:rPr>
            </w:pPr>
            <w:r>
              <w:rPr>
                <w:rFonts w:hint="eastAsia" w:ascii="Times New Roman" w:hAnsi="Times New Roman"/>
              </w:rPr>
              <w:t>+479米至+330米</w:t>
            </w:r>
          </w:p>
        </w:tc>
        <w:tc>
          <w:tcPr>
            <w:tcW w:w="1486" w:type="dxa"/>
            <w:vAlign w:val="center"/>
          </w:tcPr>
          <w:p>
            <w:pPr>
              <w:jc w:val="center"/>
              <w:rPr>
                <w:rFonts w:ascii="Times New Roman" w:hAnsi="Times New Roman"/>
                <w:szCs w:val="21"/>
              </w:rPr>
            </w:pPr>
            <w:r>
              <w:rPr>
                <w:rFonts w:hint="eastAsia" w:ascii="Times New Roman" w:hAnsi="Times New Roman"/>
                <w:szCs w:val="21"/>
              </w:rPr>
              <w:t>100万吨/年</w:t>
            </w:r>
          </w:p>
        </w:tc>
        <w:tc>
          <w:tcPr>
            <w:tcW w:w="851" w:type="dxa"/>
            <w:vAlign w:val="center"/>
          </w:tcPr>
          <w:p>
            <w:pPr>
              <w:jc w:val="center"/>
              <w:rPr>
                <w:rFonts w:ascii="Times New Roman" w:hAnsi="Times New Roman"/>
                <w:szCs w:val="21"/>
              </w:rPr>
            </w:pPr>
            <w:r>
              <w:rPr>
                <w:rFonts w:hint="eastAsia" w:ascii="Times New Roman" w:hAnsi="Times New Roman"/>
                <w:szCs w:val="21"/>
              </w:rPr>
              <w:t>11.3</w:t>
            </w:r>
          </w:p>
        </w:tc>
        <w:tc>
          <w:tcPr>
            <w:tcW w:w="1134" w:type="dxa"/>
            <w:vAlign w:val="center"/>
          </w:tcPr>
          <w:p>
            <w:pPr>
              <w:jc w:val="center"/>
              <w:rPr>
                <w:rFonts w:ascii="Times New Roman" w:hAnsi="Times New Roman"/>
                <w:szCs w:val="21"/>
              </w:rPr>
            </w:pPr>
            <w:r>
              <w:rPr>
                <w:rFonts w:hint="eastAsia" w:ascii="Times New Roman" w:hAnsi="Times New Roman"/>
                <w:szCs w:val="21"/>
              </w:rPr>
              <w:t>4283.69</w:t>
            </w:r>
          </w:p>
        </w:tc>
        <w:tc>
          <w:tcPr>
            <w:tcW w:w="916" w:type="dxa"/>
            <w:vAlign w:val="center"/>
          </w:tcPr>
          <w:p>
            <w:pPr>
              <w:jc w:val="center"/>
              <w:rPr>
                <w:rFonts w:ascii="Times New Roman" w:hAnsi="Times New Roman"/>
                <w:szCs w:val="21"/>
              </w:rPr>
            </w:pPr>
            <w:r>
              <w:rPr>
                <w:rFonts w:hint="eastAsia" w:ascii="Times New Roman" w:hAnsi="Times New Roman"/>
                <w:szCs w:val="21"/>
              </w:rPr>
              <w:t>856.74</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一、序号BNGC202101 采矿权出让人：</w:t>
      </w:r>
      <w:r>
        <w:rPr>
          <w:rFonts w:hint="eastAsia" w:asciiTheme="minorEastAsia" w:hAnsiTheme="minorEastAsia"/>
          <w:sz w:val="24"/>
          <w:szCs w:val="24"/>
        </w:rPr>
        <w:t>重庆市巴南区规划和自然资源局</w:t>
      </w:r>
      <w:r>
        <w:rPr>
          <w:rFonts w:asciiTheme="minorEastAsia" w:hAnsiTheme="minorEastAsia"/>
          <w:sz w:val="24"/>
          <w:szCs w:val="24"/>
        </w:rPr>
        <w:t>，地址：</w:t>
      </w:r>
      <w:r>
        <w:rPr>
          <w:rFonts w:hint="eastAsia" w:cs="宋体" w:asciiTheme="minorEastAsia" w:hAnsiTheme="minorEastAsia"/>
          <w:sz w:val="24"/>
          <w:szCs w:val="24"/>
        </w:rPr>
        <w:t>重庆市巴南区龙洲大道108号</w:t>
      </w:r>
      <w:r>
        <w:rPr>
          <w:rFonts w:asciiTheme="minorEastAsia" w:hAnsiTheme="minorEastAsia"/>
          <w:sz w:val="24"/>
          <w:szCs w:val="24"/>
        </w:rPr>
        <w:t>，联系人：</w:t>
      </w:r>
      <w:r>
        <w:rPr>
          <w:rFonts w:hint="eastAsia" w:cs="宋体" w:asciiTheme="minorEastAsia" w:hAnsiTheme="minorEastAsia"/>
          <w:sz w:val="24"/>
          <w:szCs w:val="24"/>
        </w:rPr>
        <w:t>尹老师</w:t>
      </w:r>
      <w:r>
        <w:rPr>
          <w:rFonts w:asciiTheme="minorEastAsia" w:hAnsiTheme="minorEastAsia"/>
          <w:sz w:val="24"/>
          <w:szCs w:val="24"/>
        </w:rPr>
        <w:t>，联系电话：</w:t>
      </w:r>
      <w:r>
        <w:rPr>
          <w:rFonts w:hint="eastAsia" w:asciiTheme="minorEastAsia" w:hAnsiTheme="minorEastAsia"/>
          <w:sz w:val="24"/>
          <w:szCs w:val="24"/>
        </w:rPr>
        <w:t>023-66219312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重庆市巴南区行政服务和公共资源交易中心</w:t>
      </w:r>
      <w:r>
        <w:rPr>
          <w:rFonts w:asciiTheme="minorEastAsia" w:hAnsiTheme="minorEastAsia"/>
          <w:sz w:val="24"/>
          <w:szCs w:val="24"/>
        </w:rPr>
        <w:t xml:space="preserve">        开户行：</w:t>
      </w:r>
      <w:r>
        <w:rPr>
          <w:rFonts w:hint="eastAsia" w:asciiTheme="minorEastAsia" w:hAnsiTheme="minorEastAsia"/>
          <w:sz w:val="24"/>
          <w:szCs w:val="24"/>
        </w:rPr>
        <w:t>工商银行巴南支行营业部</w:t>
      </w:r>
      <w:r>
        <w:rPr>
          <w:rFonts w:asciiTheme="minorEastAsia" w:hAnsiTheme="minorEastAsia"/>
          <w:sz w:val="24"/>
          <w:szCs w:val="24"/>
        </w:rPr>
        <w:t xml:space="preserve"> 帐号：</w:t>
      </w:r>
      <w:r>
        <w:rPr>
          <w:rFonts w:hint="eastAsia" w:asciiTheme="minorEastAsia" w:hAnsiTheme="minorEastAsia"/>
          <w:sz w:val="24"/>
          <w:szCs w:val="24"/>
        </w:rPr>
        <w:t>9558853100001877053</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2021年08月09日12时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重庆市巴南区行政服务和公共资源交易中心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重庆市巴南区规划和自然资源局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重庆市巴南区行政服务和公共资源交易中心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1、本宗采矿权为已建矿山，通过公开出让方式整合资源。截止2021年3月31日，该矿权出让范围内保有及评估利用建筑石料用灰岩矿控制资源量1538.54万吨，其中，整合区新增控制资源量1229.6万吨；原矿区范围内保有控制资源量308.94万吨（已出让保有控制资源量104.59万吨；因计算矿区灰岩矿的容值不同及控制资源量地段划分增加，新增控制资源量204.35万吨，由竞得人按此次成交单价缴纳采矿权出让收益）。</w:t>
      </w:r>
    </w:p>
    <w:p>
      <w:pPr>
        <w:spacing w:line="360" w:lineRule="exact"/>
        <w:ind w:firstLine="480" w:firstLineChars="200"/>
        <w:rPr>
          <w:rFonts w:hint="eastAsia" w:ascii="Times New Roman" w:hAnsi="Times New Roman"/>
          <w:sz w:val="24"/>
        </w:rPr>
      </w:pPr>
      <w:r>
        <w:rPr>
          <w:rFonts w:hint="eastAsia" w:ascii="Times New Roman" w:hAnsi="Times New Roman"/>
          <w:sz w:val="24"/>
        </w:rPr>
        <w:t>2、按照《重庆巨成集团矿业有限公司矿山投入的建（构）筑物、机器设备等资产市场价值评估项目资产评估报告》（重庆国能资评报字〔2020〕第019号），原采矿权人重庆巨成集团矿业有限公司姜家苏家沟建筑石料用灰岩矿固定资产评估价值为18008.22万元，成功竞得后，由竞得人在签订《重庆市采矿权出让合同》前，一次性支付给原采矿权人指定账户（收款单位：重庆巨成集团矿业有限公司，开户行：中国银行重庆龙湾支行，账号：108821654760），相关税费由竞得人自行承担，收款方只开具收款收据。因原采矿权人重庆巨成集团矿业有限公司未停产，故原矿区已出让保有控制资源量104.59万吨，待招拍挂完成后，双方共同协商确定技术单位，原已出让剩余保有控制资源量以实测数据为准进行清算，单价按照此次采矿权评估价3.47元/吨支付。竞得人若未按公告要求足额支付相关费用，即视为自愿放弃采矿权，出让方不退还竞买保证金。若原采矿权人为竞得人，可以不支付此费用。</w:t>
      </w:r>
    </w:p>
    <w:p>
      <w:pPr>
        <w:spacing w:line="360" w:lineRule="exact"/>
        <w:ind w:firstLine="480" w:firstLineChars="200"/>
        <w:rPr>
          <w:rFonts w:hint="eastAsia" w:ascii="Times New Roman" w:hAnsi="Times New Roman"/>
          <w:sz w:val="24"/>
        </w:rPr>
      </w:pPr>
      <w:r>
        <w:rPr>
          <w:rFonts w:hint="eastAsia" w:ascii="Times New Roman" w:hAnsi="Times New Roman"/>
          <w:sz w:val="24"/>
        </w:rPr>
        <w:t>3、本宗采矿权相关报告资料未公开部分，竞买申请人可在公示期内向出让方申请查阅。</w:t>
      </w:r>
    </w:p>
    <w:p>
      <w:pPr>
        <w:spacing w:line="360" w:lineRule="exact"/>
        <w:ind w:firstLine="480" w:firstLineChars="200"/>
        <w:rPr>
          <w:rFonts w:hint="eastAsia" w:ascii="Times New Roman" w:hAnsi="Times New Roman"/>
          <w:sz w:val="24"/>
        </w:rPr>
      </w:pPr>
      <w:r>
        <w:rPr>
          <w:rFonts w:hint="eastAsia" w:ascii="Times New Roman" w:hAnsi="Times New Roman"/>
          <w:sz w:val="24"/>
        </w:rPr>
        <w:t>4、本次出让的仅为采矿权，不含出让范围内的土地、山林等其他权利。竞买申请人报名前须自行前往现场踏勘了解，现场踏勘并详细了解出让范围及周边土地、山权、林权、道路、地下管道、水电供给、废渣占地堆放、地表附着物、工业广场、社群关系等影响资源开采的外部条件，未进行现场踏勘的，提交竞买申请即视为竞买人对采矿权现状、公告须知、出让文件、采矿权出让合同等内容已完全认可并资源承担所有风险。</w:t>
      </w:r>
    </w:p>
    <w:p>
      <w:pPr>
        <w:spacing w:line="360" w:lineRule="exact"/>
        <w:ind w:firstLine="480" w:firstLineChars="200"/>
        <w:rPr>
          <w:rFonts w:hint="eastAsia" w:ascii="Times New Roman" w:hAnsi="Times New Roman"/>
          <w:sz w:val="24"/>
        </w:rPr>
      </w:pPr>
      <w:r>
        <w:rPr>
          <w:rFonts w:hint="eastAsia" w:ascii="Times New Roman" w:hAnsi="Times New Roman"/>
          <w:sz w:val="24"/>
        </w:rPr>
        <w:t>5、该宗采矿权前期投入费用共计16.98万元（前期报告费用），已包含在采矿权出让收益起始价4283.69万元中，竞买人竞得后，无需在矿业权出让收益总额之外另行支付。</w:t>
      </w:r>
    </w:p>
    <w:p>
      <w:pPr>
        <w:spacing w:line="360" w:lineRule="exact"/>
        <w:ind w:firstLine="480" w:firstLineChars="200"/>
        <w:rPr>
          <w:rFonts w:ascii="Times New Roman" w:hAnsi="Times New Roman"/>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6、若本次公开出让采取拍卖方式，产生的拍卖费用由竞得人承</w:t>
      </w:r>
      <w:bookmarkStart w:id="0" w:name="_GoBack"/>
      <w:bookmarkEnd w:id="0"/>
      <w:r>
        <w:rPr>
          <w:rFonts w:hint="eastAsia" w:ascii="Times New Roman" w:hAnsi="Times New Roman"/>
          <w:sz w:val="24"/>
        </w:rPr>
        <w:t>担。</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重庆市巴南区姜家镇槐园村柏杨湾社建筑石料用灰岩矿采矿权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BNGC202101</w:t>
      </w:r>
    </w:p>
    <w:p>
      <w:pPr>
        <w:spacing w:line="360" w:lineRule="exact"/>
        <w:ind w:firstLine="420" w:firstLineChars="200"/>
        <w:rPr>
          <w:rFonts w:ascii="Times New Roman" w:hAnsi="Times New Roman"/>
          <w:szCs w:val="21"/>
        </w:rPr>
      </w:pPr>
      <w:r>
        <w:rPr>
          <w:rFonts w:hint="eastAsia" w:ascii="Times New Roman" w:hAnsi="Times New Roman"/>
          <w:szCs w:val="21"/>
        </w:rPr>
        <w:t>重庆市巴南区姜家镇槐园村柏杨湾社建筑石料用灰岩矿</w:t>
      </w:r>
      <w:r>
        <w:rPr>
          <w:rFonts w:ascii="Times New Roman" w:hAnsi="Times New Roman"/>
          <w:szCs w:val="21"/>
        </w:rPr>
        <w:t>采矿权位于</w:t>
      </w:r>
      <w:r>
        <w:rPr>
          <w:rFonts w:hint="eastAsia" w:ascii="Times New Roman" w:hAnsi="Times New Roman"/>
          <w:szCs w:val="21"/>
        </w:rPr>
        <w:t>重庆市巴南区姜家镇槐园村柏杨湾社建筑石料用灰岩矿</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重庆市巴南区行政服务和公共资源交易中心</w:t>
      </w:r>
      <w:r>
        <w:rPr>
          <w:rFonts w:asciiTheme="minorEastAsia" w:hAnsiTheme="minorEastAsia"/>
          <w:szCs w:val="21"/>
        </w:rPr>
        <w:t>（</w:t>
      </w:r>
      <w:r>
        <w:rPr>
          <w:rFonts w:hint="eastAsia" w:asciiTheme="minorEastAsia" w:hAnsiTheme="minorEastAsia"/>
          <w:szCs w:val="21"/>
        </w:rPr>
        <w:t>https：//www.cqggzy.com/bannanweb/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2021年07月12日12时</w:t>
      </w:r>
      <w:r>
        <w:rPr>
          <w:rFonts w:asciiTheme="minorEastAsia" w:hAnsiTheme="minorEastAsia"/>
          <w:szCs w:val="21"/>
        </w:rPr>
        <w:t>-</w:t>
      </w:r>
      <w:r>
        <w:rPr>
          <w:rFonts w:hint="eastAsia" w:asciiTheme="minorEastAsia" w:hAnsiTheme="minorEastAsia"/>
          <w:szCs w:val="21"/>
        </w:rPr>
        <w:t>2021年08月09日12时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重庆市巴南区姜家镇槐园村柏杨湾社建筑石料用灰岩矿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重庆市巴南区姜家镇槐园村柏杨湾社建筑石料用灰岩矿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4283.69</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0.1793</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+479米至+330米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1229.6万吨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100万吨/年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11.3</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3254085.82</w:t>
            </w:r>
          </w:p>
        </w:tc>
        <w:tc>
          <w:p>
            <w:pPr>
              <w:spacing w:line="360" w:lineRule="exact"/>
              <w:jc w:val="center"/>
              <w:rPr>
                <w:rFonts w:ascii="Times New Roman" w:hAnsi="Times New Roman"/>
                <w:szCs w:val="21"/>
              </w:rPr>
            </w:pPr>
            <w:r>
              <w:rPr>
                <w:rFonts w:hint="eastAsia" w:ascii="Times New Roman" w:hAnsi="Times New Roman"/>
                <w:szCs w:val="21"/>
              </w:rPr>
              <w:t>36386114.78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3254233.47</w:t>
            </w:r>
          </w:p>
        </w:tc>
        <w:tc>
          <w:p>
            <w:pPr>
              <w:spacing w:line="360" w:lineRule="exact"/>
              <w:jc w:val="center"/>
              <w:rPr>
                <w:rFonts w:ascii="Times New Roman" w:hAnsi="Times New Roman"/>
                <w:szCs w:val="21"/>
              </w:rPr>
            </w:pPr>
            <w:r>
              <w:rPr>
                <w:rFonts w:hint="eastAsia" w:ascii="Times New Roman" w:hAnsi="Times New Roman"/>
                <w:szCs w:val="21"/>
              </w:rPr>
              <w:t>36385794.18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3254626.78</w:t>
            </w:r>
          </w:p>
        </w:tc>
        <w:tc>
          <w:p>
            <w:pPr>
              <w:spacing w:line="360" w:lineRule="exact"/>
              <w:jc w:val="center"/>
              <w:rPr>
                <w:rFonts w:ascii="Times New Roman" w:hAnsi="Times New Roman"/>
                <w:szCs w:val="21"/>
              </w:rPr>
            </w:pPr>
            <w:r>
              <w:rPr>
                <w:rFonts w:hint="eastAsia" w:ascii="Times New Roman" w:hAnsi="Times New Roman"/>
                <w:szCs w:val="21"/>
              </w:rPr>
              <w:t>36385943.69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3254524.7</w:t>
            </w:r>
          </w:p>
        </w:tc>
        <w:tc>
          <w:p>
            <w:pPr>
              <w:spacing w:line="360" w:lineRule="exact"/>
              <w:jc w:val="center"/>
              <w:rPr>
                <w:rFonts w:ascii="Times New Roman" w:hAnsi="Times New Roman"/>
                <w:szCs w:val="21"/>
              </w:rPr>
            </w:pPr>
            <w:r>
              <w:rPr>
                <w:rFonts w:hint="eastAsia" w:ascii="Times New Roman" w:hAnsi="Times New Roman"/>
                <w:szCs w:val="21"/>
              </w:rPr>
              <w:t>36386222.17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3254419.05</w:t>
            </w:r>
          </w:p>
        </w:tc>
        <w:tc>
          <w:p>
            <w:pPr>
              <w:spacing w:line="360" w:lineRule="exact"/>
              <w:jc w:val="center"/>
              <w:rPr>
                <w:rFonts w:ascii="Times New Roman" w:hAnsi="Times New Roman"/>
                <w:szCs w:val="21"/>
              </w:rPr>
            </w:pPr>
            <w:r>
              <w:rPr>
                <w:rFonts w:hint="eastAsia" w:ascii="Times New Roman" w:hAnsi="Times New Roman"/>
                <w:szCs w:val="21"/>
              </w:rPr>
              <w:t>36386303.06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3254257.45</w:t>
            </w:r>
          </w:p>
        </w:tc>
        <w:tc>
          <w:p>
            <w:pPr>
              <w:spacing w:line="360" w:lineRule="exact"/>
              <w:jc w:val="center"/>
              <w:rPr>
                <w:rFonts w:ascii="Times New Roman" w:hAnsi="Times New Roman"/>
                <w:szCs w:val="21"/>
              </w:rPr>
            </w:pPr>
            <w:r>
              <w:rPr>
                <w:rFonts w:hint="eastAsia" w:ascii="Times New Roman" w:hAnsi="Times New Roman"/>
                <w:szCs w:val="21"/>
              </w:rPr>
              <w:t>36386291.28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3254092.95</w:t>
            </w:r>
          </w:p>
        </w:tc>
        <w:tc>
          <w:p>
            <w:pPr>
              <w:spacing w:line="360" w:lineRule="exact"/>
              <w:jc w:val="center"/>
              <w:rPr>
                <w:rFonts w:ascii="Times New Roman" w:hAnsi="Times New Roman"/>
                <w:szCs w:val="21"/>
              </w:rPr>
            </w:pPr>
            <w:r>
              <w:rPr>
                <w:rFonts w:hint="eastAsia" w:ascii="Times New Roman" w:hAnsi="Times New Roman"/>
                <w:szCs w:val="21"/>
              </w:rPr>
              <w:t>36386144.79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w:t>
            </w:r>
          </w:p>
        </w:tc>
        <w:tc>
          <w:tcPr>
            <w:gridSpan w:val="2"/>
          </w:tcPr>
          <w:p>
            <w:pPr>
              <w:spacing w:line="360" w:lineRule="exact"/>
              <w:jc w:val="center"/>
              <w:rPr>
                <w:rFonts w:ascii="Times New Roman" w:hAnsi="Times New Roman"/>
                <w:szCs w:val="21"/>
              </w:rPr>
            </w:pPr>
            <w:r>
              <w:rPr>
                <w:rFonts w:hint="eastAsia" w:ascii="Times New Roman" w:hAnsi="Times New Roman"/>
                <w:szCs w:val="21"/>
              </w:rPr>
              <w:t>479</w:t>
            </w:r>
          </w:p>
        </w:tc>
        <w:tc>
          <w:p>
            <w:pPr>
              <w:spacing w:line="360" w:lineRule="exact"/>
              <w:jc w:val="center"/>
              <w:rPr>
                <w:rFonts w:ascii="Times New Roman" w:hAnsi="Times New Roman"/>
                <w:szCs w:val="21"/>
              </w:rPr>
            </w:pPr>
            <w:r>
              <w:rPr>
                <w:rFonts w:hint="eastAsia" w:ascii="Times New Roman" w:hAnsi="Times New Roman"/>
                <w:szCs w:val="21"/>
              </w:rPr>
              <w:t>330</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重庆市巴南区规划和自然资源局</w:t>
      </w:r>
      <w:r>
        <w:rPr>
          <w:rFonts w:asciiTheme="minorEastAsia" w:hAnsiTheme="minorEastAsia"/>
          <w:szCs w:val="21"/>
        </w:rPr>
        <w:t>，采矿权出让承办机构为</w:t>
      </w:r>
      <w:r>
        <w:rPr>
          <w:rFonts w:hint="eastAsia" w:asciiTheme="minorEastAsia" w:hAnsiTheme="minorEastAsia"/>
          <w:szCs w:val="21"/>
        </w:rPr>
        <w:t>重庆市巴南区行政服务和公共资源交易中心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重庆市巴南区规划和自然资源局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重庆市巴南区龙洲大道108号</w:t>
      </w:r>
      <w:r>
        <w:rPr>
          <w:rFonts w:asciiTheme="minorEastAsia" w:hAnsiTheme="minorEastAsia"/>
          <w:szCs w:val="21"/>
        </w:rPr>
        <w:t>，联系人：</w:t>
      </w:r>
      <w:r>
        <w:rPr>
          <w:rFonts w:hint="eastAsia" w:cs="宋体" w:asciiTheme="minorEastAsia" w:hAnsiTheme="minorEastAsia"/>
          <w:szCs w:val="21"/>
        </w:rPr>
        <w:t>尹老师</w:t>
      </w:r>
      <w:r>
        <w:rPr>
          <w:rFonts w:asciiTheme="minorEastAsia" w:hAnsiTheme="minorEastAsia"/>
          <w:szCs w:val="21"/>
        </w:rPr>
        <w:t>，联系电话：</w:t>
      </w:r>
      <w:r>
        <w:rPr>
          <w:rFonts w:hint="eastAsia" w:asciiTheme="minorEastAsia" w:hAnsiTheme="minorEastAsia"/>
          <w:szCs w:val="21"/>
        </w:rPr>
        <w:t>023-66219312</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重庆市巴南区行政服务和公共资源交易中心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重庆市巴南区龙洲湾街道公园北路12号</w:t>
      </w:r>
      <w:r>
        <w:rPr>
          <w:rFonts w:asciiTheme="minorEastAsia" w:hAnsiTheme="minorEastAsia"/>
          <w:szCs w:val="21"/>
        </w:rPr>
        <w:t>，联系人：</w:t>
      </w:r>
      <w:r>
        <w:rPr>
          <w:rFonts w:hint="eastAsia" w:asciiTheme="minorEastAsia" w:hAnsiTheme="minorEastAsia"/>
          <w:szCs w:val="21"/>
        </w:rPr>
        <w:t>王老师</w:t>
      </w:r>
      <w:r>
        <w:rPr>
          <w:rFonts w:asciiTheme="minorEastAsia" w:hAnsiTheme="minorEastAsia"/>
          <w:szCs w:val="21"/>
        </w:rPr>
        <w:t>，联系电话：</w:t>
      </w:r>
      <w:r>
        <w:rPr>
          <w:rFonts w:hint="eastAsia" w:asciiTheme="minorEastAsia" w:hAnsiTheme="minorEastAsia"/>
          <w:szCs w:val="21"/>
        </w:rPr>
        <w:t>023-66237320</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2021年07月12日12时</w:t>
      </w:r>
      <w:r>
        <w:rPr>
          <w:rFonts w:ascii="Times New Roman" w:hAnsi="Times New Roman" w:cs="Times New Roman"/>
          <w:szCs w:val="21"/>
        </w:rPr>
        <w:t>-</w:t>
      </w:r>
      <w:r>
        <w:rPr>
          <w:rFonts w:hint="eastAsia" w:ascii="Times New Roman" w:hAnsi="Times New Roman" w:cs="Times New Roman"/>
          <w:szCs w:val="21"/>
        </w:rPr>
        <w:t>2021年08月09日12时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重庆市巴南区龙洲湾街道公园北路12号</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王老师</w:t>
      </w:r>
      <w:r>
        <w:rPr>
          <w:rFonts w:ascii="Times New Roman" w:hAnsi="Times New Roman" w:cs="Times New Roman"/>
          <w:szCs w:val="21"/>
        </w:rPr>
        <w:t>，联系电话：</w:t>
      </w:r>
      <w:r>
        <w:rPr>
          <w:rFonts w:hint="eastAsia" w:ascii="Times New Roman" w:hAnsi="Times New Roman" w:cs="Times New Roman"/>
          <w:szCs w:val="21"/>
        </w:rPr>
        <w:t>023-66237320</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重庆市巴南区行政服务和公共资源交易中心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856.74</w:t>
      </w:r>
      <w:r>
        <w:rPr>
          <w:rFonts w:ascii="Times New Roman" w:hAnsi="Times New Roman" w:cs="Times New Roman"/>
          <w:szCs w:val="21"/>
        </w:rPr>
        <w:t>万元（大写：</w:t>
      </w:r>
      <w:r>
        <w:rPr>
          <w:rFonts w:hint="eastAsia" w:ascii="宋体" w:hAnsi="宋体" w:eastAsia="宋体" w:cs="宋体"/>
          <w:szCs w:val="21"/>
        </w:rPr>
        <w:t>捌佰伍拾陆万柒仟肆佰元整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重庆市巴南区行政服务和公共资源交易中心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2021年08月09日12时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保证金户名：重庆市巴南区行政服务和公共资源交易中心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开户行：工商银行巴南支行营业部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帐号：9558853100001877053。</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重庆市巴南区行政服务和公共资源交易中心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30-50万</w:t>
      </w:r>
      <w:r>
        <w:rPr>
          <w:rFonts w:ascii="Times New Roman" w:hAnsi="Times New Roman" w:cs="Times New Roman"/>
          <w:szCs w:val="21"/>
        </w:rPr>
        <w:t>元。拍卖时间为</w:t>
      </w:r>
      <w:r>
        <w:rPr>
          <w:rFonts w:hint="eastAsia" w:ascii="Times New Roman" w:hAnsi="Times New Roman" w:cs="Times New Roman"/>
          <w:szCs w:val="21"/>
        </w:rPr>
        <w:t>2021年08月10日12时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重庆市巴南区行政服务和公共资源交易中心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该宗采矿权出让收益分6期缴纳，首期缴纳金额为总出让收益的20%缴纳且不低于200万元，第2期缴纳金额为总出让收益的19%，第3期缴纳金额为总出让收益的18%，第4期缴纳金额为总出让收益的16%，第5期缴纳金额为总出让收益的14%，第6期缴纳金额为总出让收益的13%。</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本宗采矿权为已建矿山，通过公开出让方式整合资源。截止2021年3月31日，该矿权出让范围内保有及评估利用建筑石料用灰岩矿控制资源量1538.54万吨，其中，整合区新增控制资源量1229.6万吨；原矿区范围内保有控制资源量308.94万吨（已出让保有控制资源量104.59万吨；因计算矿区灰岩矿的容值不同及控制资源量地段划分增加，新增控制资源量204.35万吨，由竞得人按此次成交单价缴纳采矿权出让收益）。</w:t>
      </w:r>
      <w:r>
        <w:rPr>
          <w:rFonts w:hint="eastAsia" w:ascii="Times New Roman" w:hAnsi="Times New Roman" w:cs="Times New Roman"/>
          <w:szCs w:val="21"/>
        </w:rPr>
        <w:cr/>
      </w:r>
      <w:r>
        <w:rPr>
          <w:rFonts w:hint="eastAsia" w:ascii="Times New Roman" w:hAnsi="Times New Roman" w:cs="Times New Roman"/>
          <w:szCs w:val="21"/>
        </w:rPr>
        <w:t>
2、按照《重庆巨成集团矿业有限公司矿山投入的建（构）筑物、机器设备等资产市场价值评估项目资产评估报告》（重庆国能资评报字〔2020〕第019号），原采矿权人重庆巨成集团矿业有限公司姜家苏家沟建筑石料用灰岩矿固定资产评估价值为18008.22万元，成功竞得后，由竞得人在签订《重庆市采矿权出让合同》前，一次性支付给原采矿权人指定账户（收款单位：重庆巨成集团矿业有限公司，开户行：中国银行重庆龙湾支行，账号：108821654760），相关税费由竞得人自行承担，收款方只开具收款收据。因原采矿权人重庆巨成集团矿业有限公司未停产，故原矿区已出让保有控制资源量104.59万吨，待招拍挂完成后，双方共同协商确定技术单位，原已出让剩余保有控制资源量以实测数据为准进行清算，单价按照此次采矿权评估价3.47元/吨支付。竞得人若未按公告要求足额支付相关费用，即视为自愿放弃采矿权，出让方不退还竞买保证金。若原采矿权人为竞得人，可以不支付此费用。</w:t>
      </w:r>
      <w:r>
        <w:rPr>
          <w:rFonts w:hint="eastAsia" w:ascii="Times New Roman" w:hAnsi="Times New Roman" w:cs="Times New Roman"/>
          <w:szCs w:val="21"/>
        </w:rPr>
        <w:cr/>
      </w:r>
      <w:r>
        <w:rPr>
          <w:rFonts w:hint="eastAsia" w:ascii="Times New Roman" w:hAnsi="Times New Roman" w:cs="Times New Roman"/>
          <w:szCs w:val="21"/>
        </w:rPr>
        <w:t>
3、本宗采矿权相关报告资料未公开部分，竞买申请人可在公示期内向出让方申请查阅。</w:t>
      </w:r>
      <w:r>
        <w:rPr>
          <w:rFonts w:hint="eastAsia" w:ascii="Times New Roman" w:hAnsi="Times New Roman" w:cs="Times New Roman"/>
          <w:szCs w:val="21"/>
        </w:rPr>
        <w:cr/>
      </w:r>
      <w:r>
        <w:rPr>
          <w:rFonts w:hint="eastAsia" w:ascii="Times New Roman" w:hAnsi="Times New Roman" w:cs="Times New Roman"/>
          <w:szCs w:val="21"/>
        </w:rPr>
        <w:t>
4、本次出让的仅为采矿权，不含出让范围内的土地、山林等其他权利。竞买申请人报名前须自行前往现场踏勘了解，现场踏勘并详细了解出让范围及周边土地、山权、林权、道路、地下管道、水电供给、废渣占地堆放、地表附着物、工业广场、社群关系等影响资源开采的外部条件，未进行现场踏勘的，提交竞买申请即视为竞买人对采矿权现状、公告须知、出让文件、采矿权出让合同等内容已完全认可并资源承担所有风险。</w:t>
      </w:r>
      <w:r>
        <w:rPr>
          <w:rFonts w:hint="eastAsia" w:ascii="Times New Roman" w:hAnsi="Times New Roman" w:cs="Times New Roman"/>
          <w:szCs w:val="21"/>
        </w:rPr>
        <w:cr/>
      </w:r>
      <w:r>
        <w:rPr>
          <w:rFonts w:hint="eastAsia" w:ascii="Times New Roman" w:hAnsi="Times New Roman" w:cs="Times New Roman"/>
          <w:szCs w:val="21"/>
        </w:rPr>
        <w:t>
5、该宗采矿权前期投入费用共计16.98万元（前期报告费用），已包含在采矿权出让收益起始价4283.69万元中，竞买人竞得后，无需在矿业权出让收益总额之外另行支付。</w:t>
      </w:r>
      <w:r>
        <w:rPr>
          <w:rFonts w:hint="eastAsia" w:ascii="Times New Roman" w:hAnsi="Times New Roman" w:cs="Times New Roman"/>
          <w:szCs w:val="21"/>
        </w:rPr>
        <w:cr/>
      </w:r>
      <w:r>
        <w:rPr>
          <w:rFonts w:hint="eastAsia" w:ascii="Times New Roman" w:hAnsi="Times New Roman" w:cs="Times New Roman"/>
          <w:szCs w:val="21"/>
        </w:rPr>
        <w:t>
6、若本次公开出让采取拍卖方式，产生的拍卖费用由竞得人承担。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重庆市巴南区规划和自然资源局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重庆市巴南区行政服务和公共资源交易中心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重庆市巴南区姜家镇槐园村柏杨湾社建筑石料用灰岩矿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 xml:space="preserve">附件六：  </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3280188F"/>
    <w:rsid w:val="451B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0</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袁玮</cp:lastModifiedBy>
  <dcterms:modified xsi:type="dcterms:W3CDTF">2021-07-12T06:19:37Z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