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widowControl/>
        <w:spacing w:line="600" w:lineRule="exact"/>
        <w:jc w:val="center"/>
        <w:rPr>
          <w:rFonts w:ascii="Times New Roman" w:hAnsi="Times New Roman" w:eastAsia="方正小标宋_GBK"/>
          <w:color w:val="auto"/>
          <w:kern w:val="0"/>
          <w:sz w:val="28"/>
          <w:szCs w:val="28"/>
        </w:rPr>
      </w:pPr>
      <w:r>
        <w:rPr>
          <w:rFonts w:ascii="Times New Roman" w:hAnsi="Times New Roman" w:eastAsia="方正小标宋_GBK"/>
          <w:color w:val="auto"/>
          <w:kern w:val="0"/>
          <w:sz w:val="28"/>
          <w:szCs w:val="28"/>
        </w:rPr>
        <w:t>重庆市巴南区姜家镇槐园村柏杨湾社建筑石料用灰岩矿采矿权</w:t>
      </w:r>
    </w:p>
    <w:p>
      <w:pPr>
        <w:widowControl/>
        <w:spacing w:line="600" w:lineRule="exact"/>
        <w:jc w:val="center"/>
        <w:rPr>
          <w:rFonts w:ascii="Times New Roman" w:hAnsi="Times New Roman" w:eastAsia="方正小标宋_GBK"/>
          <w:color w:val="auto"/>
          <w:kern w:val="0"/>
          <w:sz w:val="28"/>
          <w:szCs w:val="28"/>
        </w:rPr>
      </w:pPr>
      <w:r>
        <w:rPr>
          <w:rFonts w:ascii="Times New Roman" w:hAnsi="Times New Roman" w:eastAsia="方正小标宋_GBK"/>
          <w:color w:val="auto"/>
          <w:kern w:val="0"/>
          <w:sz w:val="28"/>
          <w:szCs w:val="28"/>
        </w:rPr>
        <w:t>竞买须知</w:t>
      </w:r>
    </w:p>
    <w:p>
      <w:pPr>
        <w:widowControl/>
        <w:spacing w:line="360" w:lineRule="exact"/>
        <w:jc w:val="right"/>
        <w:rPr>
          <w:rFonts w:ascii="Times New Roman" w:hAnsi="Times New Roman"/>
          <w:color w:val="auto"/>
          <w:kern w:val="0"/>
          <w:szCs w:val="21"/>
        </w:rPr>
      </w:pPr>
    </w:p>
    <w:p>
      <w:pPr>
        <w:widowControl/>
        <w:spacing w:line="360" w:lineRule="exact"/>
        <w:jc w:val="right"/>
        <w:rPr>
          <w:rFonts w:ascii="Times New Roman" w:hAnsi="Times New Roman"/>
          <w:b/>
          <w:color w:val="auto"/>
          <w:kern w:val="0"/>
          <w:szCs w:val="21"/>
        </w:rPr>
      </w:pPr>
      <w:r>
        <w:rPr>
          <w:rFonts w:ascii="Times New Roman" w:hAnsi="Times New Roman"/>
          <w:b/>
          <w:color w:val="auto"/>
          <w:kern w:val="0"/>
          <w:szCs w:val="21"/>
        </w:rPr>
        <w:t>公告序号：</w:t>
      </w:r>
      <w:r>
        <w:rPr>
          <w:rFonts w:ascii="Times New Roman" w:hAnsi="Times New Roman"/>
          <w:color w:val="auto"/>
          <w:szCs w:val="21"/>
        </w:rPr>
        <w:t>BNGC202102</w:t>
      </w:r>
    </w:p>
    <w:p>
      <w:pPr>
        <w:spacing w:line="360" w:lineRule="exact"/>
        <w:ind w:firstLine="420" w:firstLineChars="200"/>
        <w:rPr>
          <w:rStyle w:val="6"/>
          <w:rFonts w:ascii="Times New Roman" w:hAnsi="Times New Roman"/>
          <w:color w:val="auto"/>
          <w:szCs w:val="21"/>
        </w:rPr>
      </w:pPr>
      <w:r>
        <w:rPr>
          <w:rFonts w:hint="eastAsia" w:ascii="Times New Roman" w:hAnsi="Times New Roman"/>
          <w:color w:val="auto"/>
          <w:szCs w:val="21"/>
        </w:rPr>
        <w:t>重庆市巴南区姜家镇槐园村柏杨湾社建筑石料用灰岩矿</w:t>
      </w:r>
      <w:r>
        <w:rPr>
          <w:rFonts w:ascii="Times New Roman" w:hAnsi="Times New Roman"/>
          <w:color w:val="auto"/>
          <w:kern w:val="0"/>
          <w:szCs w:val="21"/>
        </w:rPr>
        <w:t>采矿权位于</w:t>
      </w:r>
      <w:r>
        <w:rPr>
          <w:rFonts w:hint="eastAsia" w:ascii="Times New Roman" w:hAnsi="Times New Roman"/>
          <w:color w:val="auto"/>
          <w:szCs w:val="21"/>
        </w:rPr>
        <w:t>重庆市巴南区姜家镇槐园村柏杨湾社</w:t>
      </w:r>
      <w:r>
        <w:rPr>
          <w:rFonts w:ascii="Times New Roman" w:hAnsi="Times New Roman"/>
          <w:color w:val="auto"/>
          <w:kern w:val="0"/>
          <w:szCs w:val="21"/>
        </w:rPr>
        <w:t>，为合理开发利用矿产资源，维护矿产资源的国家所有权，建立规范、开放、竞争、有序的矿业权市场，根据《矿</w:t>
      </w:r>
      <w:r>
        <w:rPr>
          <w:rFonts w:ascii="Times New Roman" w:hAnsi="Times New Roman"/>
          <w:color w:val="auto"/>
          <w:kern w:val="0"/>
          <w:szCs w:val="21"/>
        </w:rPr>
        <w:t>业权交易规则》、《探矿权采矿权招标拍卖挂牌管理办法（试行）》等有关规定，决定对该采矿权进行网上</w:t>
      </w:r>
      <w:r>
        <w:rPr>
          <w:rFonts w:hint="eastAsia" w:ascii="Times New Roman" w:hAnsi="Times New Roman"/>
          <w:color w:val="auto"/>
          <w:kern w:val="0"/>
          <w:szCs w:val="21"/>
          <w:lang w:eastAsia="zh-CN"/>
        </w:rPr>
        <w:t>报名线下交易</w:t>
      </w:r>
      <w:r>
        <w:rPr>
          <w:rFonts w:ascii="Times New Roman" w:hAnsi="Times New Roman"/>
          <w:color w:val="auto"/>
          <w:kern w:val="0"/>
          <w:szCs w:val="21"/>
        </w:rPr>
        <w:t>公开</w:t>
      </w:r>
      <w:r>
        <w:rPr>
          <w:rFonts w:ascii="Times New Roman" w:hAnsi="Times New Roman"/>
          <w:color w:val="auto"/>
          <w:kern w:val="0"/>
          <w:szCs w:val="21"/>
        </w:rPr>
        <w:t>出让。</w:t>
      </w:r>
    </w:p>
    <w:p>
      <w:pPr>
        <w:spacing w:line="360" w:lineRule="exact"/>
        <w:ind w:firstLine="420" w:firstLineChars="200"/>
        <w:rPr>
          <w:rStyle w:val="6"/>
          <w:rFonts w:asciiTheme="minorEastAsia" w:hAnsiTheme="minorEastAsia"/>
          <w:color w:val="auto"/>
          <w:szCs w:val="21"/>
        </w:rPr>
      </w:pPr>
      <w:r>
        <w:rPr>
          <w:rFonts w:ascii="Times New Roman" w:hAnsi="Times New Roman"/>
          <w:color w:val="auto"/>
          <w:kern w:val="0"/>
          <w:szCs w:val="21"/>
        </w:rPr>
        <w:t>本次</w:t>
      </w:r>
      <w:r>
        <w:rPr>
          <w:rFonts w:hint="eastAsia" w:ascii="Times New Roman" w:hAnsi="Times New Roman"/>
          <w:color w:val="auto"/>
          <w:kern w:val="0"/>
          <w:szCs w:val="21"/>
        </w:rPr>
        <w:t>公告</w:t>
      </w:r>
      <w:r>
        <w:rPr>
          <w:rFonts w:asciiTheme="minorEastAsia" w:hAnsiTheme="minorEastAsia"/>
          <w:color w:val="auto"/>
          <w:kern w:val="0"/>
          <w:szCs w:val="21"/>
        </w:rPr>
        <w:t>网址为：</w:t>
      </w:r>
      <w:r>
        <w:rPr>
          <w:rFonts w:hint="eastAsia" w:asciiTheme="minorEastAsia" w:hAnsiTheme="minorEastAsia"/>
          <w:color w:val="auto"/>
          <w:szCs w:val="21"/>
        </w:rPr>
        <w:t>https：//www.cqggzy.com</w:t>
      </w:r>
    </w:p>
    <w:p>
      <w:pPr>
        <w:spacing w:line="360" w:lineRule="exact"/>
        <w:ind w:firstLine="420" w:firstLineChars="200"/>
        <w:rPr>
          <w:rStyle w:val="6"/>
          <w:rFonts w:ascii="Times New Roman" w:hAnsi="Times New Roman"/>
          <w:color w:val="auto"/>
          <w:szCs w:val="21"/>
        </w:rPr>
      </w:pPr>
      <w:r>
        <w:rPr>
          <w:rFonts w:ascii="Times New Roman" w:hAnsi="Times New Roman"/>
          <w:color w:val="auto"/>
          <w:kern w:val="0"/>
          <w:szCs w:val="21"/>
        </w:rPr>
        <w:t>此次采矿权公开出让遵循公开、公平、公正和诚实信用原则，并按价高者得的原则确定竞得人。</w:t>
      </w:r>
    </w:p>
    <w:p>
      <w:pPr>
        <w:spacing w:line="360" w:lineRule="exact"/>
        <w:ind w:firstLine="422" w:firstLineChars="200"/>
        <w:rPr>
          <w:rFonts w:ascii="Times New Roman" w:hAnsi="Times New Roman"/>
          <w:b/>
          <w:bCs/>
          <w:color w:val="auto"/>
          <w:kern w:val="0"/>
          <w:szCs w:val="21"/>
        </w:rPr>
      </w:pPr>
      <w:r>
        <w:rPr>
          <w:rFonts w:ascii="Times New Roman" w:hAnsi="Times New Roman"/>
          <w:b/>
          <w:bCs/>
          <w:color w:val="auto"/>
          <w:kern w:val="0"/>
          <w:szCs w:val="21"/>
        </w:rPr>
        <w:t>一、出让采矿权基本情况</w:t>
      </w:r>
    </w:p>
    <w:p>
      <w:pPr>
        <w:spacing w:line="360" w:lineRule="exact"/>
        <w:ind w:firstLine="420" w:firstLineChars="200"/>
        <w:rPr>
          <w:rFonts w:ascii="Times New Roman" w:hAnsi="Times New Roman"/>
          <w:b/>
          <w:bCs/>
          <w:color w:val="auto"/>
          <w:kern w:val="0"/>
          <w:szCs w:val="21"/>
        </w:rPr>
      </w:pPr>
      <w:r>
        <w:rPr>
          <w:rFonts w:ascii="Times New Roman" w:hAnsi="Times New Roman"/>
          <w:color w:val="auto"/>
          <w:kern w:val="0"/>
          <w:szCs w:val="21"/>
        </w:rPr>
        <w:t>（一）公告时间</w:t>
      </w:r>
      <w:r>
        <w:rPr>
          <w:rFonts w:asciiTheme="minorEastAsia" w:hAnsiTheme="minorEastAsia"/>
          <w:color w:val="auto"/>
          <w:kern w:val="0"/>
          <w:szCs w:val="21"/>
        </w:rPr>
        <w:t>：</w:t>
      </w:r>
      <w:r>
        <w:rPr>
          <w:rFonts w:hint="eastAsia" w:asciiTheme="minorEastAsia" w:hAnsiTheme="minorEastAsia"/>
          <w:color w:val="auto"/>
          <w:szCs w:val="21"/>
        </w:rPr>
        <w:t>2021年11月10日12时</w:t>
      </w:r>
      <w:r>
        <w:rPr>
          <w:rFonts w:asciiTheme="minorEastAsia" w:hAnsiTheme="minorEastAsia"/>
          <w:color w:val="auto"/>
          <w:szCs w:val="21"/>
        </w:rPr>
        <w:t>-</w:t>
      </w:r>
      <w:r>
        <w:rPr>
          <w:rFonts w:hint="eastAsia" w:asciiTheme="minorEastAsia" w:hAnsiTheme="minorEastAsia"/>
          <w:color w:val="auto"/>
          <w:szCs w:val="21"/>
        </w:rPr>
        <w:t>2021年12月09日12时</w:t>
      </w:r>
      <w:r>
        <w:rPr>
          <w:rFonts w:asciiTheme="minorEastAsia" w:hAnsiTheme="minorEastAsia"/>
          <w:color w:val="auto"/>
          <w:kern w:val="0"/>
          <w:szCs w:val="21"/>
        </w:rPr>
        <w:t>；</w:t>
      </w:r>
      <w:bookmarkStart w:id="0" w:name="_GoBack"/>
      <w:bookmarkEnd w:id="0"/>
    </w:p>
    <w:p>
      <w:pPr>
        <w:spacing w:line="360" w:lineRule="exact"/>
        <w:ind w:firstLine="420" w:firstLineChars="200"/>
        <w:rPr>
          <w:rFonts w:ascii="Times New Roman" w:hAnsi="Times New Roman"/>
          <w:b/>
          <w:bCs/>
          <w:color w:val="auto"/>
          <w:kern w:val="0"/>
          <w:szCs w:val="21"/>
        </w:rPr>
      </w:pPr>
      <w:r>
        <w:rPr>
          <w:rFonts w:ascii="Times New Roman" w:hAnsi="Times New Roman"/>
          <w:color w:val="auto"/>
          <w:kern w:val="0"/>
          <w:szCs w:val="21"/>
        </w:rPr>
        <w:t>（二）采矿权名称（暂定名）：</w:t>
      </w:r>
      <w:r>
        <w:rPr>
          <w:rFonts w:hint="eastAsia" w:ascii="Times New Roman" w:hAnsi="Times New Roman"/>
          <w:color w:val="auto"/>
          <w:szCs w:val="21"/>
        </w:rPr>
        <w:t>重庆市巴南区姜家镇槐园村柏杨湾社建筑石料用灰岩矿</w:t>
      </w:r>
      <w:r>
        <w:rPr>
          <w:rFonts w:ascii="Times New Roman" w:hAnsi="Times New Roman"/>
          <w:color w:val="auto"/>
          <w:kern w:val="0"/>
          <w:szCs w:val="21"/>
        </w:rPr>
        <w:t>；</w:t>
      </w:r>
    </w:p>
    <w:p>
      <w:pPr>
        <w:spacing w:line="360" w:lineRule="exact"/>
        <w:ind w:firstLine="420" w:firstLineChars="200"/>
        <w:rPr>
          <w:rStyle w:val="6"/>
          <w:rFonts w:ascii="Times New Roman" w:hAnsi="Times New Roman"/>
          <w:color w:val="auto"/>
          <w:szCs w:val="21"/>
        </w:rPr>
      </w:pPr>
      <w:r>
        <w:rPr>
          <w:rFonts w:ascii="Times New Roman" w:hAnsi="Times New Roman"/>
          <w:color w:val="auto"/>
          <w:kern w:val="0"/>
          <w:szCs w:val="21"/>
        </w:rPr>
        <w:t>（三）地理位置：</w:t>
      </w:r>
      <w:r>
        <w:rPr>
          <w:rFonts w:hint="eastAsia" w:ascii="Times New Roman" w:hAnsi="Times New Roman"/>
          <w:color w:val="auto"/>
          <w:szCs w:val="21"/>
        </w:rPr>
        <w:t>重庆市巴南区姜家镇槐园村柏杨湾社</w:t>
      </w:r>
      <w:r>
        <w:rPr>
          <w:rFonts w:ascii="Times New Roman" w:hAnsi="Times New Roman"/>
          <w:color w:val="auto"/>
          <w:kern w:val="0"/>
          <w:szCs w:val="21"/>
        </w:rPr>
        <w:t>；</w:t>
      </w:r>
    </w:p>
    <w:p>
      <w:pPr>
        <w:spacing w:line="360" w:lineRule="exact"/>
        <w:ind w:firstLine="420" w:firstLineChars="200"/>
        <w:rPr>
          <w:rStyle w:val="6"/>
          <w:rFonts w:ascii="Times New Roman" w:hAnsi="Times New Roman"/>
          <w:color w:val="auto"/>
          <w:szCs w:val="21"/>
        </w:rPr>
      </w:pPr>
      <w:r>
        <w:rPr>
          <w:rFonts w:ascii="Times New Roman" w:hAnsi="Times New Roman"/>
          <w:color w:val="auto"/>
          <w:kern w:val="0"/>
          <w:szCs w:val="21"/>
        </w:rPr>
        <w:t>（四）出让收益起始价：</w:t>
      </w:r>
      <w:r>
        <w:rPr>
          <w:rFonts w:hint="eastAsia" w:ascii="Times New Roman" w:hAnsi="Times New Roman"/>
          <w:color w:val="auto"/>
          <w:szCs w:val="21"/>
        </w:rPr>
        <w:t>4992.79</w:t>
      </w:r>
      <w:r>
        <w:rPr>
          <w:rFonts w:ascii="Times New Roman" w:hAnsi="Times New Roman"/>
          <w:color w:val="auto"/>
          <w:kern w:val="0"/>
          <w:szCs w:val="21"/>
        </w:rPr>
        <w:t>万元；</w:t>
      </w:r>
    </w:p>
    <w:p>
      <w:pPr>
        <w:spacing w:line="360" w:lineRule="exact"/>
        <w:ind w:firstLine="420" w:firstLineChars="200"/>
        <w:rPr>
          <w:rFonts w:ascii="Times New Roman" w:hAnsi="Times New Roman"/>
          <w:b/>
          <w:bCs/>
          <w:color w:val="auto"/>
          <w:kern w:val="0"/>
          <w:szCs w:val="21"/>
        </w:rPr>
      </w:pPr>
      <w:r>
        <w:rPr>
          <w:rFonts w:ascii="Times New Roman" w:hAnsi="Times New Roman"/>
          <w:color w:val="auto"/>
          <w:kern w:val="0"/>
          <w:szCs w:val="21"/>
        </w:rPr>
        <w:t>（五）矿区面积：</w:t>
      </w:r>
      <w:r>
        <w:rPr>
          <w:rFonts w:hint="eastAsia" w:ascii="Times New Roman" w:hAnsi="Times New Roman"/>
          <w:color w:val="auto"/>
          <w:szCs w:val="21"/>
        </w:rPr>
        <w:t>0.1793</w:t>
      </w:r>
      <w:r>
        <w:rPr>
          <w:rFonts w:ascii="Times New Roman" w:hAnsi="Times New Roman"/>
          <w:color w:val="auto"/>
          <w:kern w:val="0"/>
          <w:szCs w:val="21"/>
        </w:rPr>
        <w:t>平方公里；</w:t>
      </w:r>
    </w:p>
    <w:p>
      <w:pPr>
        <w:spacing w:line="360" w:lineRule="exact"/>
        <w:ind w:firstLine="420" w:firstLineChars="200"/>
        <w:rPr>
          <w:rStyle w:val="6"/>
          <w:rFonts w:ascii="Times New Roman" w:hAnsi="Times New Roman"/>
          <w:color w:val="auto"/>
          <w:szCs w:val="21"/>
        </w:rPr>
      </w:pPr>
      <w:r>
        <w:rPr>
          <w:rFonts w:ascii="Times New Roman" w:hAnsi="Times New Roman"/>
          <w:color w:val="auto"/>
          <w:kern w:val="0"/>
          <w:szCs w:val="21"/>
        </w:rPr>
        <w:t>（六）开采标高：</w:t>
      </w:r>
      <w:r>
        <w:rPr>
          <w:rFonts w:hint="eastAsia" w:ascii="Times New Roman" w:hAnsi="Times New Roman"/>
          <w:color w:val="auto"/>
        </w:rPr>
        <w:t>+479米至+330米</w:t>
      </w:r>
      <w:r>
        <w:rPr>
          <w:rFonts w:ascii="Times New Roman" w:hAnsi="Times New Roman"/>
          <w:color w:val="auto"/>
          <w:kern w:val="0"/>
          <w:szCs w:val="21"/>
        </w:rPr>
        <w:t>；</w:t>
      </w:r>
    </w:p>
    <w:p>
      <w:pPr>
        <w:spacing w:line="360" w:lineRule="exact"/>
        <w:ind w:firstLine="420" w:firstLineChars="200"/>
        <w:rPr>
          <w:rStyle w:val="6"/>
          <w:rFonts w:ascii="Times New Roman" w:hAnsi="Times New Roman"/>
          <w:color w:val="auto"/>
          <w:szCs w:val="21"/>
        </w:rPr>
      </w:pPr>
      <w:r>
        <w:rPr>
          <w:rFonts w:ascii="Times New Roman" w:hAnsi="Times New Roman"/>
          <w:color w:val="auto"/>
          <w:kern w:val="0"/>
          <w:szCs w:val="21"/>
        </w:rPr>
        <w:t>（七）开采矿种：</w:t>
      </w:r>
      <w:r>
        <w:rPr>
          <w:rFonts w:hint="eastAsia" w:ascii="Times New Roman" w:hAnsi="Times New Roman"/>
          <w:color w:val="auto"/>
          <w:szCs w:val="21"/>
        </w:rPr>
        <w:t>建筑石料用灰岩矿</w:t>
      </w:r>
      <w:r>
        <w:rPr>
          <w:rFonts w:ascii="Times New Roman" w:hAnsi="Times New Roman"/>
          <w:color w:val="auto"/>
          <w:kern w:val="0"/>
          <w:szCs w:val="21"/>
        </w:rPr>
        <w:t>；</w:t>
      </w:r>
    </w:p>
    <w:p>
      <w:pPr>
        <w:spacing w:line="360" w:lineRule="exact"/>
        <w:ind w:firstLine="420" w:firstLineChars="200"/>
        <w:rPr>
          <w:rStyle w:val="6"/>
          <w:rFonts w:ascii="Times New Roman" w:hAnsi="Times New Roman"/>
          <w:color w:val="auto"/>
          <w:szCs w:val="21"/>
        </w:rPr>
      </w:pPr>
      <w:r>
        <w:rPr>
          <w:rFonts w:ascii="Times New Roman" w:hAnsi="Times New Roman"/>
          <w:color w:val="auto"/>
          <w:kern w:val="0"/>
          <w:szCs w:val="21"/>
        </w:rPr>
        <w:t>（八）资源储量：</w:t>
      </w:r>
      <w:r>
        <w:rPr>
          <w:rFonts w:hint="eastAsia" w:ascii="Times New Roman" w:hAnsi="Times New Roman"/>
          <w:color w:val="auto"/>
          <w:szCs w:val="21"/>
        </w:rPr>
        <w:t>1433.95万吨</w:t>
      </w:r>
      <w:r>
        <w:rPr>
          <w:rFonts w:ascii="Times New Roman" w:hAnsi="Times New Roman"/>
          <w:color w:val="auto"/>
          <w:kern w:val="0"/>
          <w:szCs w:val="21"/>
        </w:rPr>
        <w:t>；</w:t>
      </w:r>
    </w:p>
    <w:p>
      <w:pPr>
        <w:spacing w:line="360" w:lineRule="exact"/>
        <w:ind w:firstLine="420" w:firstLineChars="200"/>
        <w:rPr>
          <w:rStyle w:val="6"/>
          <w:rFonts w:ascii="Times New Roman" w:hAnsi="Times New Roman"/>
          <w:color w:val="auto"/>
          <w:szCs w:val="21"/>
        </w:rPr>
      </w:pPr>
      <w:r>
        <w:rPr>
          <w:rFonts w:ascii="Times New Roman" w:hAnsi="Times New Roman"/>
          <w:color w:val="auto"/>
          <w:kern w:val="0"/>
          <w:szCs w:val="21"/>
        </w:rPr>
        <w:t>（九）生产规模：</w:t>
      </w:r>
      <w:r>
        <w:rPr>
          <w:rFonts w:hint="eastAsia" w:ascii="Times New Roman" w:hAnsi="Times New Roman"/>
          <w:color w:val="auto"/>
          <w:szCs w:val="21"/>
        </w:rPr>
        <w:t>100万吨/年</w:t>
      </w:r>
      <w:r>
        <w:rPr>
          <w:rFonts w:ascii="Times New Roman" w:hAnsi="Times New Roman"/>
          <w:color w:val="auto"/>
          <w:kern w:val="0"/>
          <w:szCs w:val="21"/>
        </w:rPr>
        <w:t>；</w:t>
      </w:r>
    </w:p>
    <w:p>
      <w:pPr>
        <w:spacing w:line="360" w:lineRule="exact"/>
        <w:ind w:firstLine="420" w:firstLineChars="200"/>
        <w:rPr>
          <w:rStyle w:val="6"/>
          <w:rFonts w:ascii="Times New Roman" w:hAnsi="Times New Roman"/>
          <w:color w:val="auto"/>
          <w:szCs w:val="21"/>
        </w:rPr>
      </w:pPr>
      <w:r>
        <w:rPr>
          <w:rFonts w:ascii="Times New Roman" w:hAnsi="Times New Roman"/>
          <w:color w:val="auto"/>
          <w:kern w:val="0"/>
          <w:szCs w:val="21"/>
        </w:rPr>
        <w:t>（十）采矿权出让年限：</w:t>
      </w:r>
      <w:r>
        <w:rPr>
          <w:rFonts w:hint="eastAsia" w:ascii="Times New Roman" w:hAnsi="Times New Roman"/>
          <w:color w:val="auto"/>
          <w:szCs w:val="21"/>
        </w:rPr>
        <w:t>11.3</w:t>
      </w:r>
      <w:r>
        <w:rPr>
          <w:rFonts w:ascii="Times New Roman" w:hAnsi="Times New Roman"/>
          <w:color w:val="auto"/>
          <w:kern w:val="0"/>
          <w:szCs w:val="21"/>
        </w:rPr>
        <w:t>年；</w:t>
      </w:r>
    </w:p>
    <w:p>
      <w:pPr>
        <w:spacing w:line="360" w:lineRule="exact"/>
        <w:ind w:firstLine="420" w:firstLineChars="200"/>
        <w:jc w:val="left"/>
        <w:rPr>
          <w:rFonts w:ascii="Times New Roman" w:hAnsi="Times New Roman"/>
          <w:color w:val="auto"/>
          <w:kern w:val="0"/>
          <w:szCs w:val="21"/>
        </w:rPr>
      </w:pPr>
      <w:r>
        <w:rPr>
          <w:rFonts w:ascii="Times New Roman" w:hAnsi="Times New Roman"/>
          <w:color w:val="auto"/>
          <w:kern w:val="0"/>
          <w:szCs w:val="21"/>
        </w:rPr>
        <w:t>（十一）矿区范围坐标（2000坐标系）：</w:t>
      </w:r>
    </w:p>
    <w:tbl>
      <w:tblPr>
        <w:tblStyle w:val="4"/>
        <w:tblW w:w="794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3"/>
        <w:gridCol w:w="2778"/>
        <w:gridCol w:w="26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2513" w:type="dxa"/>
            <w:vAlign w:val="center"/>
          </w:tcPr>
          <w:p>
            <w:pPr>
              <w:spacing w:line="360" w:lineRule="exact"/>
              <w:jc w:val="center"/>
              <w:rPr>
                <w:rFonts w:ascii="Times New Roman" w:hAnsi="Times New Roman"/>
                <w:color w:val="auto"/>
                <w:kern w:val="0"/>
                <w:szCs w:val="21"/>
              </w:rPr>
            </w:pPr>
            <w:r>
              <w:rPr>
                <w:rFonts w:ascii="Times New Roman" w:hAnsi="Times New Roman"/>
                <w:color w:val="auto"/>
                <w:kern w:val="0"/>
                <w:szCs w:val="21"/>
              </w:rPr>
              <w:t>拐点</w:t>
            </w:r>
          </w:p>
        </w:tc>
        <w:tc>
          <w:tcPr>
            <w:tcW w:w="2778" w:type="dxa"/>
            <w:vAlign w:val="center"/>
          </w:tcPr>
          <w:p>
            <w:pPr>
              <w:spacing w:line="360" w:lineRule="exact"/>
              <w:jc w:val="center"/>
              <w:rPr>
                <w:rFonts w:ascii="Times New Roman" w:hAnsi="Times New Roman"/>
                <w:color w:val="auto"/>
                <w:kern w:val="0"/>
                <w:szCs w:val="21"/>
              </w:rPr>
            </w:pPr>
            <w:r>
              <w:rPr>
                <w:rFonts w:ascii="Times New Roman" w:hAnsi="Times New Roman"/>
                <w:color w:val="auto"/>
                <w:kern w:val="0"/>
                <w:szCs w:val="21"/>
              </w:rPr>
              <w:t>X坐标</w:t>
            </w:r>
          </w:p>
        </w:tc>
        <w:tc>
          <w:tcPr>
            <w:tcW w:w="2655" w:type="dxa"/>
            <w:vAlign w:val="center"/>
          </w:tcPr>
          <w:p>
            <w:pPr>
              <w:spacing w:line="360" w:lineRule="exact"/>
              <w:jc w:val="center"/>
              <w:rPr>
                <w:rFonts w:ascii="Times New Roman" w:hAnsi="Times New Roman"/>
                <w:color w:val="auto"/>
                <w:kern w:val="0"/>
                <w:szCs w:val="21"/>
              </w:rPr>
            </w:pPr>
            <w:r>
              <w:rPr>
                <w:rFonts w:ascii="Times New Roman" w:hAnsi="Times New Roman"/>
                <w:color w:val="auto"/>
                <w:kern w:val="0"/>
                <w:szCs w:val="21"/>
              </w:rPr>
              <w:t>Y坐标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3" w:type="dxa"/>
          </w:tcPr>
          <w:p>
            <w:pPr>
              <w:spacing w:line="360" w:lineRule="exact"/>
              <w:jc w:val="center"/>
              <w:rPr>
                <w:rFonts w:ascii="Times New Roman" w:hAnsi="Times New Roman"/>
                <w:color w:val="auto"/>
                <w:kern w:val="0"/>
                <w:szCs w:val="21"/>
              </w:rPr>
            </w:pPr>
            <w:r>
              <w:rPr>
                <w:rFonts w:hint="eastAsia" w:ascii="Times New Roman" w:hAnsi="Times New Roman"/>
                <w:color w:val="auto"/>
                <w:kern w:val="0"/>
                <w:szCs w:val="21"/>
              </w:rPr>
              <w:t>1</w:t>
            </w:r>
          </w:p>
        </w:tc>
        <w:tc>
          <w:tcPr>
            <w:tcW w:w="2778" w:type="dxa"/>
          </w:tcPr>
          <w:p>
            <w:pPr>
              <w:spacing w:line="360" w:lineRule="exact"/>
              <w:jc w:val="center"/>
              <w:rPr>
                <w:rFonts w:ascii="Times New Roman" w:hAnsi="Times New Roman"/>
                <w:color w:val="auto"/>
                <w:szCs w:val="21"/>
              </w:rPr>
            </w:pPr>
            <w:r>
              <w:rPr>
                <w:rFonts w:hint="eastAsia" w:ascii="Times New Roman" w:hAnsi="Times New Roman"/>
                <w:color w:val="auto"/>
                <w:szCs w:val="21"/>
              </w:rPr>
              <w:t>3254085.82</w:t>
            </w:r>
          </w:p>
        </w:tc>
        <w:tc>
          <w:tcPr>
            <w:tcW w:w="2655" w:type="dxa"/>
          </w:tcPr>
          <w:p>
            <w:pPr>
              <w:spacing w:line="360" w:lineRule="exact"/>
              <w:jc w:val="center"/>
              <w:rPr>
                <w:rFonts w:ascii="Times New Roman" w:hAnsi="Times New Roman"/>
                <w:color w:val="auto"/>
                <w:szCs w:val="21"/>
              </w:rPr>
            </w:pPr>
            <w:r>
              <w:rPr>
                <w:rFonts w:hint="eastAsia" w:ascii="Times New Roman" w:hAnsi="Times New Roman"/>
                <w:color w:val="auto"/>
                <w:szCs w:val="21"/>
              </w:rPr>
              <w:t>36386114.78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3" w:type="dxa"/>
          </w:tcPr>
          <w:p>
            <w:pPr>
              <w:spacing w:line="360" w:lineRule="exact"/>
              <w:jc w:val="center"/>
              <w:rPr>
                <w:rFonts w:ascii="Times New Roman" w:hAnsi="Times New Roman"/>
                <w:color w:val="auto"/>
                <w:kern w:val="0"/>
                <w:szCs w:val="21"/>
              </w:rPr>
            </w:pPr>
            <w:r>
              <w:rPr>
                <w:rFonts w:hint="eastAsia" w:ascii="Times New Roman" w:hAnsi="Times New Roman"/>
                <w:color w:val="auto"/>
                <w:kern w:val="0"/>
                <w:szCs w:val="21"/>
              </w:rPr>
              <w:t>2</w:t>
            </w:r>
          </w:p>
        </w:tc>
        <w:tc>
          <w:tcPr>
            <w:tcW w:w="2778" w:type="dxa"/>
          </w:tcPr>
          <w:p>
            <w:pPr>
              <w:spacing w:line="360" w:lineRule="exact"/>
              <w:jc w:val="center"/>
              <w:rPr>
                <w:rFonts w:ascii="Times New Roman" w:hAnsi="Times New Roman"/>
                <w:color w:val="auto"/>
                <w:szCs w:val="21"/>
              </w:rPr>
            </w:pPr>
            <w:r>
              <w:rPr>
                <w:rFonts w:hint="eastAsia" w:ascii="Times New Roman" w:hAnsi="Times New Roman"/>
                <w:color w:val="auto"/>
                <w:szCs w:val="21"/>
              </w:rPr>
              <w:t>3254233.47</w:t>
            </w:r>
          </w:p>
        </w:tc>
        <w:tc>
          <w:tcPr>
            <w:tcW w:w="2655" w:type="dxa"/>
          </w:tcPr>
          <w:p>
            <w:pPr>
              <w:spacing w:line="360" w:lineRule="exact"/>
              <w:jc w:val="center"/>
              <w:rPr>
                <w:rFonts w:ascii="Times New Roman" w:hAnsi="Times New Roman"/>
                <w:color w:val="auto"/>
                <w:szCs w:val="21"/>
              </w:rPr>
            </w:pPr>
            <w:r>
              <w:rPr>
                <w:rFonts w:hint="eastAsia" w:ascii="Times New Roman" w:hAnsi="Times New Roman"/>
                <w:color w:val="auto"/>
                <w:szCs w:val="21"/>
              </w:rPr>
              <w:t>36385794.18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3" w:type="dxa"/>
          </w:tcPr>
          <w:p>
            <w:pPr>
              <w:spacing w:line="360" w:lineRule="exact"/>
              <w:jc w:val="center"/>
              <w:rPr>
                <w:rFonts w:ascii="Times New Roman" w:hAnsi="Times New Roman"/>
                <w:color w:val="auto"/>
                <w:kern w:val="0"/>
                <w:szCs w:val="21"/>
              </w:rPr>
            </w:pPr>
            <w:r>
              <w:rPr>
                <w:rFonts w:hint="eastAsia" w:ascii="Times New Roman" w:hAnsi="Times New Roman"/>
                <w:color w:val="auto"/>
                <w:kern w:val="0"/>
                <w:szCs w:val="21"/>
              </w:rPr>
              <w:t>3</w:t>
            </w:r>
          </w:p>
        </w:tc>
        <w:tc>
          <w:tcPr>
            <w:tcW w:w="2778" w:type="dxa"/>
          </w:tcPr>
          <w:p>
            <w:pPr>
              <w:spacing w:line="360" w:lineRule="exact"/>
              <w:jc w:val="center"/>
              <w:rPr>
                <w:rFonts w:ascii="Times New Roman" w:hAnsi="Times New Roman"/>
                <w:color w:val="auto"/>
                <w:szCs w:val="21"/>
              </w:rPr>
            </w:pPr>
            <w:r>
              <w:rPr>
                <w:rFonts w:hint="eastAsia" w:ascii="Times New Roman" w:hAnsi="Times New Roman"/>
                <w:color w:val="auto"/>
                <w:szCs w:val="21"/>
              </w:rPr>
              <w:t>3254626.78</w:t>
            </w:r>
          </w:p>
        </w:tc>
        <w:tc>
          <w:tcPr>
            <w:tcW w:w="2655" w:type="dxa"/>
          </w:tcPr>
          <w:p>
            <w:pPr>
              <w:spacing w:line="360" w:lineRule="exact"/>
              <w:jc w:val="center"/>
              <w:rPr>
                <w:rFonts w:ascii="Times New Roman" w:hAnsi="Times New Roman"/>
                <w:color w:val="auto"/>
                <w:szCs w:val="21"/>
              </w:rPr>
            </w:pPr>
            <w:r>
              <w:rPr>
                <w:rFonts w:hint="eastAsia" w:ascii="Times New Roman" w:hAnsi="Times New Roman"/>
                <w:color w:val="auto"/>
                <w:szCs w:val="21"/>
              </w:rPr>
              <w:t>36385943.69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3" w:type="dxa"/>
          </w:tcPr>
          <w:p>
            <w:pPr>
              <w:spacing w:line="360" w:lineRule="exact"/>
              <w:jc w:val="center"/>
              <w:rPr>
                <w:rFonts w:ascii="Times New Roman" w:hAnsi="Times New Roman"/>
                <w:color w:val="auto"/>
                <w:kern w:val="0"/>
                <w:szCs w:val="21"/>
              </w:rPr>
            </w:pPr>
            <w:r>
              <w:rPr>
                <w:rFonts w:hint="eastAsia" w:ascii="Times New Roman" w:hAnsi="Times New Roman"/>
                <w:color w:val="auto"/>
                <w:kern w:val="0"/>
                <w:szCs w:val="21"/>
              </w:rPr>
              <w:t>4</w:t>
            </w:r>
          </w:p>
        </w:tc>
        <w:tc>
          <w:tcPr>
            <w:tcW w:w="2778" w:type="dxa"/>
          </w:tcPr>
          <w:p>
            <w:pPr>
              <w:spacing w:line="360" w:lineRule="exact"/>
              <w:jc w:val="center"/>
              <w:rPr>
                <w:rFonts w:ascii="Times New Roman" w:hAnsi="Times New Roman"/>
                <w:color w:val="auto"/>
                <w:szCs w:val="21"/>
              </w:rPr>
            </w:pPr>
            <w:r>
              <w:rPr>
                <w:rFonts w:hint="eastAsia" w:ascii="Times New Roman" w:hAnsi="Times New Roman"/>
                <w:color w:val="auto"/>
                <w:szCs w:val="21"/>
              </w:rPr>
              <w:t>3254524.70</w:t>
            </w:r>
          </w:p>
        </w:tc>
        <w:tc>
          <w:tcPr>
            <w:tcW w:w="2655" w:type="dxa"/>
          </w:tcPr>
          <w:p>
            <w:pPr>
              <w:spacing w:line="360" w:lineRule="exact"/>
              <w:jc w:val="center"/>
              <w:rPr>
                <w:rFonts w:ascii="Times New Roman" w:hAnsi="Times New Roman"/>
                <w:color w:val="auto"/>
                <w:szCs w:val="21"/>
              </w:rPr>
            </w:pPr>
            <w:r>
              <w:rPr>
                <w:rFonts w:hint="eastAsia" w:ascii="Times New Roman" w:hAnsi="Times New Roman"/>
                <w:color w:val="auto"/>
                <w:szCs w:val="21"/>
              </w:rPr>
              <w:t>36386222.17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3" w:type="dxa"/>
          </w:tcPr>
          <w:p>
            <w:pPr>
              <w:spacing w:line="360" w:lineRule="exact"/>
              <w:jc w:val="center"/>
              <w:rPr>
                <w:rFonts w:ascii="Times New Roman" w:hAnsi="Times New Roman"/>
                <w:color w:val="auto"/>
                <w:kern w:val="0"/>
                <w:szCs w:val="21"/>
              </w:rPr>
            </w:pPr>
            <w:r>
              <w:rPr>
                <w:rFonts w:hint="eastAsia" w:ascii="Times New Roman" w:hAnsi="Times New Roman"/>
                <w:color w:val="auto"/>
                <w:kern w:val="0"/>
                <w:szCs w:val="21"/>
              </w:rPr>
              <w:t>5</w:t>
            </w:r>
          </w:p>
        </w:tc>
        <w:tc>
          <w:tcPr>
            <w:tcW w:w="2778" w:type="dxa"/>
          </w:tcPr>
          <w:p>
            <w:pPr>
              <w:spacing w:line="360" w:lineRule="exact"/>
              <w:jc w:val="center"/>
              <w:rPr>
                <w:rFonts w:ascii="Times New Roman" w:hAnsi="Times New Roman"/>
                <w:color w:val="auto"/>
                <w:szCs w:val="21"/>
              </w:rPr>
            </w:pPr>
            <w:r>
              <w:rPr>
                <w:rFonts w:hint="eastAsia" w:ascii="Times New Roman" w:hAnsi="Times New Roman"/>
                <w:color w:val="auto"/>
                <w:szCs w:val="21"/>
              </w:rPr>
              <w:t>3254419.05</w:t>
            </w:r>
          </w:p>
        </w:tc>
        <w:tc>
          <w:tcPr>
            <w:tcW w:w="2655" w:type="dxa"/>
          </w:tcPr>
          <w:p>
            <w:pPr>
              <w:spacing w:line="360" w:lineRule="exact"/>
              <w:jc w:val="center"/>
              <w:rPr>
                <w:rFonts w:ascii="Times New Roman" w:hAnsi="Times New Roman"/>
                <w:color w:val="auto"/>
                <w:szCs w:val="21"/>
              </w:rPr>
            </w:pPr>
            <w:r>
              <w:rPr>
                <w:rFonts w:hint="eastAsia" w:ascii="Times New Roman" w:hAnsi="Times New Roman"/>
                <w:color w:val="auto"/>
                <w:szCs w:val="21"/>
              </w:rPr>
              <w:t>36386303.06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3" w:type="dxa"/>
          </w:tcPr>
          <w:p>
            <w:pPr>
              <w:spacing w:line="360" w:lineRule="exact"/>
              <w:jc w:val="center"/>
              <w:rPr>
                <w:rFonts w:ascii="Times New Roman" w:hAnsi="Times New Roman"/>
                <w:color w:val="auto"/>
                <w:kern w:val="0"/>
                <w:szCs w:val="21"/>
              </w:rPr>
            </w:pPr>
            <w:r>
              <w:rPr>
                <w:rFonts w:hint="eastAsia" w:ascii="Times New Roman" w:hAnsi="Times New Roman"/>
                <w:color w:val="auto"/>
                <w:kern w:val="0"/>
                <w:szCs w:val="21"/>
              </w:rPr>
              <w:t>6</w:t>
            </w:r>
          </w:p>
        </w:tc>
        <w:tc>
          <w:tcPr>
            <w:tcW w:w="2778" w:type="dxa"/>
          </w:tcPr>
          <w:p>
            <w:pPr>
              <w:spacing w:line="360" w:lineRule="exact"/>
              <w:jc w:val="center"/>
              <w:rPr>
                <w:rFonts w:ascii="Times New Roman" w:hAnsi="Times New Roman"/>
                <w:color w:val="auto"/>
                <w:szCs w:val="21"/>
              </w:rPr>
            </w:pPr>
            <w:r>
              <w:rPr>
                <w:rFonts w:hint="eastAsia" w:ascii="Times New Roman" w:hAnsi="Times New Roman"/>
                <w:color w:val="auto"/>
                <w:szCs w:val="21"/>
              </w:rPr>
              <w:t>3254257.45</w:t>
            </w:r>
          </w:p>
        </w:tc>
        <w:tc>
          <w:tcPr>
            <w:tcW w:w="2655" w:type="dxa"/>
          </w:tcPr>
          <w:p>
            <w:pPr>
              <w:spacing w:line="360" w:lineRule="exact"/>
              <w:jc w:val="center"/>
              <w:rPr>
                <w:rFonts w:ascii="Times New Roman" w:hAnsi="Times New Roman"/>
                <w:color w:val="auto"/>
                <w:szCs w:val="21"/>
              </w:rPr>
            </w:pPr>
            <w:r>
              <w:rPr>
                <w:rFonts w:hint="eastAsia" w:ascii="Times New Roman" w:hAnsi="Times New Roman"/>
                <w:color w:val="auto"/>
                <w:szCs w:val="21"/>
              </w:rPr>
              <w:t>36386291.28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3" w:type="dxa"/>
          </w:tcPr>
          <w:p>
            <w:pPr>
              <w:spacing w:line="360" w:lineRule="exact"/>
              <w:jc w:val="center"/>
              <w:rPr>
                <w:rFonts w:ascii="Times New Roman" w:hAnsi="Times New Roman"/>
                <w:color w:val="auto"/>
                <w:kern w:val="0"/>
                <w:szCs w:val="21"/>
              </w:rPr>
            </w:pPr>
            <w:r>
              <w:rPr>
                <w:rFonts w:hint="eastAsia" w:ascii="Times New Roman" w:hAnsi="Times New Roman"/>
                <w:color w:val="auto"/>
                <w:kern w:val="0"/>
                <w:szCs w:val="21"/>
              </w:rPr>
              <w:t>7</w:t>
            </w:r>
          </w:p>
        </w:tc>
        <w:tc>
          <w:tcPr>
            <w:tcW w:w="2778" w:type="dxa"/>
          </w:tcPr>
          <w:p>
            <w:pPr>
              <w:spacing w:line="360" w:lineRule="exact"/>
              <w:jc w:val="center"/>
              <w:rPr>
                <w:rFonts w:ascii="Times New Roman" w:hAnsi="Times New Roman"/>
                <w:color w:val="auto"/>
                <w:szCs w:val="21"/>
              </w:rPr>
            </w:pPr>
            <w:r>
              <w:rPr>
                <w:rFonts w:hint="eastAsia" w:ascii="Times New Roman" w:hAnsi="Times New Roman"/>
                <w:color w:val="auto"/>
                <w:szCs w:val="21"/>
              </w:rPr>
              <w:t>3254092.95</w:t>
            </w:r>
          </w:p>
        </w:tc>
        <w:tc>
          <w:tcPr>
            <w:tcW w:w="2655" w:type="dxa"/>
          </w:tcPr>
          <w:p>
            <w:pPr>
              <w:spacing w:line="360" w:lineRule="exact"/>
              <w:jc w:val="center"/>
              <w:rPr>
                <w:rFonts w:ascii="Times New Roman" w:hAnsi="Times New Roman"/>
                <w:color w:val="auto"/>
                <w:szCs w:val="21"/>
              </w:rPr>
            </w:pPr>
            <w:r>
              <w:rPr>
                <w:rFonts w:hint="eastAsia" w:ascii="Times New Roman" w:hAnsi="Times New Roman"/>
                <w:color w:val="auto"/>
                <w:szCs w:val="21"/>
              </w:rPr>
              <w:t>36386144.79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3" w:type="dxa"/>
          </w:tcPr>
          <w:p>
            <w:pPr>
              <w:spacing w:line="360" w:lineRule="exact"/>
              <w:jc w:val="center"/>
              <w:rPr>
                <w:rFonts w:ascii="Times New Roman" w:hAnsi="Times New Roman"/>
                <w:color w:val="auto"/>
                <w:kern w:val="0"/>
                <w:szCs w:val="21"/>
              </w:rPr>
            </w:pPr>
            <w:r>
              <w:rPr>
                <w:rFonts w:hint="eastAsia" w:ascii="Times New Roman" w:hAnsi="Times New Roman"/>
                <w:color w:val="auto"/>
                <w:kern w:val="0"/>
                <w:szCs w:val="21"/>
              </w:rPr>
              <w:t>*</w:t>
            </w:r>
          </w:p>
        </w:tc>
        <w:tc>
          <w:tcPr>
            <w:tcW w:w="2778" w:type="dxa"/>
          </w:tcPr>
          <w:p>
            <w:pPr>
              <w:spacing w:line="360" w:lineRule="exact"/>
              <w:jc w:val="center"/>
              <w:rPr>
                <w:rFonts w:ascii="Times New Roman" w:hAnsi="Times New Roman"/>
                <w:color w:val="auto"/>
                <w:szCs w:val="21"/>
              </w:rPr>
            </w:pPr>
            <w:r>
              <w:rPr>
                <w:rFonts w:hint="eastAsia" w:ascii="Times New Roman" w:hAnsi="Times New Roman"/>
                <w:color w:val="auto"/>
                <w:szCs w:val="21"/>
              </w:rPr>
              <w:t>479</w:t>
            </w:r>
          </w:p>
        </w:tc>
        <w:tc>
          <w:tcPr>
            <w:tcW w:w="2655" w:type="dxa"/>
          </w:tcPr>
          <w:p>
            <w:pPr>
              <w:spacing w:line="360" w:lineRule="exact"/>
              <w:jc w:val="center"/>
              <w:rPr>
                <w:rFonts w:ascii="Times New Roman" w:hAnsi="Times New Roman"/>
                <w:color w:val="auto"/>
                <w:szCs w:val="21"/>
              </w:rPr>
            </w:pPr>
            <w:r>
              <w:rPr>
                <w:rFonts w:hint="eastAsia" w:ascii="Times New Roman" w:hAnsi="Times New Roman"/>
                <w:color w:val="auto"/>
                <w:szCs w:val="21"/>
              </w:rPr>
              <w:t>330</w:t>
            </w:r>
          </w:p>
        </w:tc>
      </w:tr>
    </w:tbl>
    <w:p>
      <w:pPr>
        <w:spacing w:line="360" w:lineRule="exact"/>
        <w:ind w:firstLine="464" w:firstLineChars="220"/>
        <w:rPr>
          <w:rStyle w:val="6"/>
          <w:rFonts w:ascii="Times New Roman" w:hAnsi="Times New Roman"/>
          <w:color w:val="auto"/>
          <w:szCs w:val="21"/>
        </w:rPr>
      </w:pPr>
      <w:r>
        <w:rPr>
          <w:rFonts w:ascii="Times New Roman" w:hAnsi="Times New Roman"/>
          <w:b/>
          <w:bCs/>
          <w:color w:val="auto"/>
          <w:kern w:val="0"/>
          <w:szCs w:val="21"/>
        </w:rPr>
        <w:t xml:space="preserve">二、出让人、有关机构联系方式 </w:t>
      </w:r>
    </w:p>
    <w:p>
      <w:pPr>
        <w:spacing w:line="360" w:lineRule="exact"/>
        <w:ind w:firstLine="420" w:firstLineChars="200"/>
        <w:rPr>
          <w:rStyle w:val="6"/>
          <w:rFonts w:ascii="Times New Roman" w:hAnsi="Times New Roman"/>
          <w:color w:val="auto"/>
          <w:szCs w:val="21"/>
        </w:rPr>
      </w:pPr>
      <w:r>
        <w:rPr>
          <w:rFonts w:ascii="Times New Roman" w:hAnsi="Times New Roman"/>
          <w:color w:val="auto"/>
          <w:kern w:val="0"/>
          <w:szCs w:val="21"/>
        </w:rPr>
        <w:t xml:space="preserve">（一）出让人及承办机构 </w:t>
      </w:r>
    </w:p>
    <w:p>
      <w:pPr>
        <w:spacing w:line="360" w:lineRule="exact"/>
        <w:ind w:firstLine="420" w:firstLineChars="200"/>
        <w:rPr>
          <w:rStyle w:val="6"/>
          <w:rFonts w:asciiTheme="minorEastAsia" w:hAnsiTheme="minorEastAsia"/>
          <w:color w:val="auto"/>
          <w:szCs w:val="21"/>
        </w:rPr>
      </w:pPr>
      <w:r>
        <w:rPr>
          <w:rFonts w:asciiTheme="minorEastAsia" w:hAnsiTheme="minorEastAsia"/>
          <w:color w:val="auto"/>
          <w:kern w:val="0"/>
          <w:szCs w:val="21"/>
        </w:rPr>
        <w:t>本次采矿权出让人为</w:t>
      </w:r>
      <w:r>
        <w:rPr>
          <w:rFonts w:hint="eastAsia" w:asciiTheme="minorEastAsia" w:hAnsiTheme="minorEastAsia"/>
          <w:color w:val="auto"/>
          <w:kern w:val="0"/>
          <w:szCs w:val="21"/>
        </w:rPr>
        <w:t>重庆市巴南区规划和自然资源局</w:t>
      </w:r>
      <w:r>
        <w:rPr>
          <w:rFonts w:asciiTheme="minorEastAsia" w:hAnsiTheme="minorEastAsia"/>
          <w:color w:val="auto"/>
          <w:kern w:val="0"/>
          <w:szCs w:val="21"/>
        </w:rPr>
        <w:t>，采矿权出让承办机构为</w:t>
      </w:r>
      <w:r>
        <w:rPr>
          <w:rFonts w:hint="eastAsia" w:asciiTheme="minorEastAsia" w:hAnsiTheme="minorEastAsia"/>
          <w:color w:val="auto"/>
          <w:kern w:val="0"/>
          <w:szCs w:val="21"/>
        </w:rPr>
        <w:t>重庆市公共资源交易中心</w:t>
      </w:r>
      <w:r>
        <w:rPr>
          <w:rFonts w:asciiTheme="minorEastAsia" w:hAnsiTheme="minorEastAsia"/>
          <w:color w:val="auto"/>
          <w:kern w:val="0"/>
          <w:szCs w:val="21"/>
        </w:rPr>
        <w:t>。</w:t>
      </w:r>
    </w:p>
    <w:p>
      <w:pPr>
        <w:spacing w:line="360" w:lineRule="exact"/>
        <w:ind w:firstLine="420" w:firstLineChars="200"/>
        <w:rPr>
          <w:rStyle w:val="6"/>
          <w:rFonts w:ascii="Times New Roman" w:hAnsi="Times New Roman"/>
          <w:color w:val="auto"/>
          <w:szCs w:val="21"/>
        </w:rPr>
      </w:pPr>
      <w:r>
        <w:rPr>
          <w:rFonts w:ascii="Times New Roman" w:hAnsi="Times New Roman"/>
          <w:color w:val="auto"/>
          <w:kern w:val="0"/>
          <w:szCs w:val="21"/>
        </w:rPr>
        <w:t xml:space="preserve">（二）出让人及有关机构联系方式 </w:t>
      </w:r>
    </w:p>
    <w:p>
      <w:pPr>
        <w:spacing w:line="360" w:lineRule="exact"/>
        <w:ind w:firstLine="420" w:firstLineChars="200"/>
        <w:rPr>
          <w:rStyle w:val="6"/>
          <w:rFonts w:asciiTheme="minorEastAsia" w:hAnsiTheme="minorEastAsia"/>
          <w:color w:val="auto"/>
          <w:szCs w:val="21"/>
        </w:rPr>
      </w:pPr>
      <w:r>
        <w:rPr>
          <w:rFonts w:ascii="Times New Roman" w:hAnsi="Times New Roman"/>
          <w:color w:val="auto"/>
          <w:kern w:val="0"/>
          <w:szCs w:val="21"/>
        </w:rPr>
        <w:t>1、</w:t>
      </w:r>
      <w:r>
        <w:rPr>
          <w:rFonts w:hint="eastAsia" w:asciiTheme="minorEastAsia" w:hAnsiTheme="minorEastAsia"/>
          <w:color w:val="auto"/>
          <w:szCs w:val="21"/>
        </w:rPr>
        <w:t>重庆市巴南区规划和自然资源局</w:t>
      </w:r>
      <w:r>
        <w:rPr>
          <w:rFonts w:asciiTheme="minorEastAsia" w:hAnsiTheme="minorEastAsia"/>
          <w:color w:val="auto"/>
          <w:kern w:val="0"/>
          <w:szCs w:val="21"/>
        </w:rPr>
        <w:t>联系方式</w:t>
      </w:r>
    </w:p>
    <w:p>
      <w:pPr>
        <w:spacing w:line="360" w:lineRule="exact"/>
        <w:ind w:firstLine="420" w:firstLineChars="200"/>
        <w:rPr>
          <w:rStyle w:val="6"/>
          <w:rFonts w:asciiTheme="minorEastAsia" w:hAnsiTheme="minorEastAsia"/>
          <w:color w:val="auto"/>
          <w:szCs w:val="21"/>
        </w:rPr>
      </w:pPr>
      <w:r>
        <w:rPr>
          <w:rFonts w:asciiTheme="minorEastAsia" w:hAnsiTheme="minorEastAsia"/>
          <w:color w:val="auto"/>
          <w:kern w:val="0"/>
          <w:szCs w:val="21"/>
        </w:rPr>
        <w:t>地址：</w:t>
      </w:r>
      <w:r>
        <w:rPr>
          <w:rFonts w:hint="eastAsia" w:cs="宋体" w:asciiTheme="minorEastAsia" w:hAnsiTheme="minorEastAsia"/>
          <w:color w:val="auto"/>
          <w:szCs w:val="21"/>
        </w:rPr>
        <w:t>重庆市巴南区龙洲大道108号</w:t>
      </w:r>
      <w:r>
        <w:rPr>
          <w:rFonts w:asciiTheme="minorEastAsia" w:hAnsiTheme="minorEastAsia"/>
          <w:color w:val="auto"/>
          <w:kern w:val="0"/>
          <w:szCs w:val="21"/>
        </w:rPr>
        <w:t>，联系人：</w:t>
      </w:r>
      <w:r>
        <w:rPr>
          <w:rFonts w:hint="eastAsia" w:cs="宋体" w:asciiTheme="minorEastAsia" w:hAnsiTheme="minorEastAsia"/>
          <w:color w:val="auto"/>
          <w:szCs w:val="21"/>
        </w:rPr>
        <w:t>尹老师</w:t>
      </w:r>
      <w:r>
        <w:rPr>
          <w:rFonts w:asciiTheme="minorEastAsia" w:hAnsiTheme="minorEastAsia"/>
          <w:color w:val="auto"/>
          <w:kern w:val="0"/>
          <w:szCs w:val="21"/>
        </w:rPr>
        <w:t>，联系电话：</w:t>
      </w:r>
      <w:r>
        <w:rPr>
          <w:rFonts w:hint="eastAsia" w:asciiTheme="minorEastAsia" w:hAnsiTheme="minorEastAsia"/>
          <w:color w:val="auto"/>
          <w:szCs w:val="21"/>
        </w:rPr>
        <w:t>023-66219312</w:t>
      </w:r>
    </w:p>
    <w:p>
      <w:pPr>
        <w:spacing w:line="360" w:lineRule="exact"/>
        <w:ind w:firstLine="420" w:firstLineChars="200"/>
        <w:rPr>
          <w:rStyle w:val="6"/>
          <w:rFonts w:asciiTheme="minorEastAsia" w:hAnsiTheme="minorEastAsia"/>
          <w:color w:val="auto"/>
          <w:szCs w:val="21"/>
        </w:rPr>
      </w:pPr>
      <w:r>
        <w:rPr>
          <w:rFonts w:asciiTheme="minorEastAsia" w:hAnsiTheme="minorEastAsia"/>
          <w:color w:val="auto"/>
          <w:kern w:val="0"/>
          <w:szCs w:val="21"/>
        </w:rPr>
        <w:t>2、</w:t>
      </w:r>
      <w:r>
        <w:rPr>
          <w:rFonts w:hint="eastAsia" w:asciiTheme="minorEastAsia" w:hAnsiTheme="minorEastAsia"/>
          <w:color w:val="auto"/>
          <w:szCs w:val="21"/>
        </w:rPr>
        <w:t>重庆市公共资源交易中心</w:t>
      </w:r>
      <w:r>
        <w:rPr>
          <w:rFonts w:asciiTheme="minorEastAsia" w:hAnsiTheme="minorEastAsia"/>
          <w:color w:val="auto"/>
          <w:kern w:val="0"/>
          <w:szCs w:val="21"/>
        </w:rPr>
        <w:t>联系方式</w:t>
      </w:r>
    </w:p>
    <w:p>
      <w:pPr>
        <w:spacing w:line="360" w:lineRule="exact"/>
        <w:ind w:firstLine="420" w:firstLineChars="200"/>
        <w:rPr>
          <w:rFonts w:asciiTheme="minorEastAsia" w:hAnsiTheme="minorEastAsia"/>
          <w:color w:val="auto"/>
          <w:szCs w:val="21"/>
        </w:rPr>
      </w:pPr>
      <w:r>
        <w:rPr>
          <w:rFonts w:asciiTheme="minorEastAsia" w:hAnsiTheme="minorEastAsia"/>
          <w:color w:val="auto"/>
          <w:kern w:val="0"/>
          <w:szCs w:val="21"/>
        </w:rPr>
        <w:t>地址：</w:t>
      </w:r>
      <w:r>
        <w:rPr>
          <w:rFonts w:hint="eastAsia" w:asciiTheme="minorEastAsia" w:hAnsiTheme="minorEastAsia"/>
          <w:color w:val="auto"/>
          <w:szCs w:val="21"/>
        </w:rPr>
        <w:t>重庆市渝北区青枫北路6号渝兴广场B9、B10栋</w:t>
      </w:r>
      <w:r>
        <w:rPr>
          <w:rFonts w:asciiTheme="minorEastAsia" w:hAnsiTheme="minorEastAsia"/>
          <w:color w:val="auto"/>
          <w:kern w:val="0"/>
          <w:szCs w:val="21"/>
        </w:rPr>
        <w:t>，联系人：</w:t>
      </w:r>
      <w:r>
        <w:rPr>
          <w:rFonts w:hint="eastAsia" w:asciiTheme="minorEastAsia" w:hAnsiTheme="minorEastAsia"/>
          <w:color w:val="auto"/>
          <w:szCs w:val="21"/>
        </w:rPr>
        <w:t>王老师</w:t>
      </w:r>
      <w:r>
        <w:rPr>
          <w:rFonts w:asciiTheme="minorEastAsia" w:hAnsiTheme="minorEastAsia"/>
          <w:color w:val="auto"/>
          <w:kern w:val="0"/>
          <w:szCs w:val="21"/>
        </w:rPr>
        <w:t>，联系电话：</w:t>
      </w:r>
      <w:r>
        <w:rPr>
          <w:rFonts w:hint="eastAsia" w:asciiTheme="minorEastAsia" w:hAnsiTheme="minorEastAsia"/>
          <w:color w:val="auto"/>
          <w:szCs w:val="21"/>
        </w:rPr>
        <w:t>023-63628117</w:t>
      </w:r>
    </w:p>
    <w:p>
      <w:pPr>
        <w:spacing w:line="360" w:lineRule="exact"/>
        <w:ind w:firstLine="420" w:firstLineChars="200"/>
        <w:rPr>
          <w:rStyle w:val="6"/>
          <w:rFonts w:ascii="Times New Roman" w:hAnsi="Times New Roman" w:cs="Times New Roman"/>
          <w:color w:val="auto"/>
          <w:szCs w:val="21"/>
        </w:rPr>
      </w:pPr>
      <w:r>
        <w:rPr>
          <w:rFonts w:ascii="Times New Roman" w:hAnsi="Times New Roman" w:cs="Times New Roman"/>
          <w:color w:val="auto"/>
          <w:kern w:val="0"/>
          <w:szCs w:val="21"/>
        </w:rPr>
        <w:t>3、CA证书办理机构：</w:t>
      </w:r>
    </w:p>
    <w:p>
      <w:pPr>
        <w:spacing w:line="360" w:lineRule="exact"/>
        <w:ind w:firstLine="420" w:firstLineChars="200"/>
        <w:rPr>
          <w:rFonts w:hint="eastAsia" w:ascii="Times New Roman" w:hAnsi="Times New Roman"/>
          <w:color w:val="auto"/>
          <w:kern w:val="0"/>
          <w:szCs w:val="21"/>
        </w:rPr>
      </w:pPr>
      <w:r>
        <w:rPr>
          <w:rFonts w:hint="eastAsia" w:ascii="Times New Roman" w:hAnsi="Times New Roman"/>
          <w:color w:val="auto"/>
          <w:kern w:val="0"/>
          <w:szCs w:val="21"/>
        </w:rPr>
        <w:t>(1)大陆云盾电子认证服务有限公司，联系人：王先生，联系电话：13647698351，网上自助办理证书网址：https://cms.mcsca.com.cn/cms/line/login</w:t>
      </w:r>
    </w:p>
    <w:p>
      <w:pPr>
        <w:spacing w:line="360" w:lineRule="exact"/>
        <w:ind w:firstLine="420" w:firstLineChars="200"/>
        <w:rPr>
          <w:rFonts w:hint="eastAsia" w:ascii="Times New Roman" w:hAnsi="Times New Roman"/>
          <w:color w:val="auto"/>
          <w:kern w:val="0"/>
          <w:szCs w:val="21"/>
        </w:rPr>
      </w:pPr>
      <w:r>
        <w:rPr>
          <w:rFonts w:hint="eastAsia" w:ascii="Times New Roman" w:hAnsi="Times New Roman"/>
          <w:color w:val="auto"/>
          <w:kern w:val="0"/>
          <w:szCs w:val="21"/>
        </w:rPr>
        <w:t>(2)东方中讯数字证书认证有限公司，联系人：何先生，联系电话：13983787460，网上自助办理证书网址：http://os.ezca.org:8001/easyca/netpay/</w:t>
      </w:r>
    </w:p>
    <w:p>
      <w:pPr>
        <w:spacing w:line="360" w:lineRule="exact"/>
        <w:ind w:firstLine="420" w:firstLineChars="200"/>
        <w:rPr>
          <w:rFonts w:hint="eastAsia" w:ascii="Times New Roman" w:hAnsi="Times New Roman"/>
          <w:color w:val="auto"/>
          <w:kern w:val="0"/>
          <w:szCs w:val="21"/>
        </w:rPr>
      </w:pPr>
      <w:r>
        <w:rPr>
          <w:rFonts w:hint="eastAsia" w:ascii="Times New Roman" w:hAnsi="Times New Roman"/>
          <w:color w:val="auto"/>
          <w:kern w:val="0"/>
          <w:szCs w:val="21"/>
        </w:rPr>
        <w:t>(3)江苏翔晟信息技术股份有限公司，联系人：任女士，联系电话：18883273962，网上自助办理证书网址：http://www.share-sun.com/chongqing/admin/login.aspx?unitname=cqggzyjyzx</w:t>
      </w:r>
    </w:p>
    <w:p>
      <w:pPr>
        <w:spacing w:line="360" w:lineRule="exact"/>
        <w:ind w:firstLine="420" w:firstLineChars="200"/>
        <w:rPr>
          <w:rFonts w:hint="eastAsia" w:ascii="Times New Roman" w:hAnsi="Times New Roman"/>
          <w:color w:val="auto"/>
          <w:kern w:val="0"/>
          <w:szCs w:val="21"/>
        </w:rPr>
      </w:pPr>
      <w:r>
        <w:rPr>
          <w:rFonts w:hint="eastAsia" w:ascii="Times New Roman" w:hAnsi="Times New Roman"/>
          <w:color w:val="auto"/>
          <w:kern w:val="0"/>
          <w:szCs w:val="21"/>
        </w:rPr>
        <w:t>(</w:t>
      </w:r>
      <w:r>
        <w:rPr>
          <w:rFonts w:hint="eastAsia" w:ascii="Times New Roman" w:hAnsi="Times New Roman"/>
          <w:color w:val="auto"/>
          <w:kern w:val="0"/>
          <w:szCs w:val="21"/>
          <w:lang w:val="en-US" w:eastAsia="zh-CN"/>
        </w:rPr>
        <w:t>4</w:t>
      </w:r>
      <w:r>
        <w:rPr>
          <w:rFonts w:hint="eastAsia" w:ascii="Times New Roman" w:hAnsi="Times New Roman"/>
          <w:color w:val="auto"/>
          <w:kern w:val="0"/>
          <w:szCs w:val="21"/>
        </w:rPr>
        <w:t>)金润方舟科技股份有限公司，联系人：程先生，联系电话：15922513181，网上自助办理证书网址：http://onlineca.jinrunsoft.com/UserOrder/Default/Index?p=RkIzNzNBODgzRTYzNUJCNQ==</w:t>
      </w:r>
    </w:p>
    <w:p>
      <w:pPr>
        <w:spacing w:line="360" w:lineRule="exact"/>
        <w:ind w:firstLine="420" w:firstLineChars="200"/>
        <w:rPr>
          <w:rFonts w:ascii="Times New Roman" w:hAnsi="Times New Roman"/>
          <w:color w:val="auto"/>
          <w:kern w:val="0"/>
          <w:szCs w:val="21"/>
        </w:rPr>
      </w:pPr>
      <w:r>
        <w:rPr>
          <w:rFonts w:ascii="Times New Roman" w:hAnsi="Times New Roman"/>
          <w:color w:val="auto"/>
          <w:kern w:val="0"/>
          <w:szCs w:val="21"/>
        </w:rPr>
        <w:t>数字证书</w:t>
      </w:r>
      <w:r>
        <w:rPr>
          <w:rFonts w:hint="eastAsia" w:ascii="Times New Roman" w:hAnsi="Times New Roman"/>
          <w:color w:val="auto"/>
          <w:kern w:val="0"/>
          <w:szCs w:val="21"/>
        </w:rPr>
        <w:t>线下办理地址：重庆市公共资源交易中心交易服务大厅。</w:t>
      </w:r>
    </w:p>
    <w:p>
      <w:pPr>
        <w:spacing w:line="360" w:lineRule="exact"/>
        <w:ind w:firstLine="422" w:firstLineChars="200"/>
        <w:rPr>
          <w:rStyle w:val="6"/>
          <w:rFonts w:ascii="Times New Roman" w:hAnsi="Times New Roman"/>
          <w:color w:val="auto"/>
          <w:szCs w:val="21"/>
        </w:rPr>
      </w:pPr>
      <w:r>
        <w:rPr>
          <w:rStyle w:val="6"/>
          <w:rFonts w:ascii="Times New Roman" w:hAnsi="Times New Roman"/>
          <w:color w:val="auto"/>
          <w:szCs w:val="21"/>
        </w:rPr>
        <w:t>三、竞买申请人准入条件</w:t>
      </w:r>
    </w:p>
    <w:p>
      <w:pPr>
        <w:spacing w:line="360" w:lineRule="exact"/>
        <w:ind w:firstLine="420" w:firstLineChars="200"/>
        <w:rPr>
          <w:rStyle w:val="6"/>
          <w:rFonts w:ascii="Times New Roman" w:hAnsi="Times New Roman"/>
          <w:b w:val="0"/>
          <w:color w:val="auto"/>
          <w:szCs w:val="21"/>
        </w:rPr>
      </w:pPr>
      <w:r>
        <w:rPr>
          <w:rStyle w:val="6"/>
          <w:rFonts w:ascii="Times New Roman" w:hAnsi="Times New Roman"/>
          <w:b w:val="0"/>
          <w:color w:val="auto"/>
          <w:szCs w:val="21"/>
        </w:rPr>
        <w:t>（一）竞买申请人须为营利法人；</w:t>
      </w:r>
    </w:p>
    <w:p>
      <w:pPr>
        <w:spacing w:line="360" w:lineRule="exact"/>
        <w:ind w:firstLine="420" w:firstLineChars="200"/>
        <w:rPr>
          <w:rStyle w:val="6"/>
          <w:rFonts w:ascii="Times New Roman" w:hAnsi="Times New Roman"/>
          <w:b w:val="0"/>
          <w:color w:val="auto"/>
          <w:szCs w:val="21"/>
        </w:rPr>
      </w:pPr>
      <w:r>
        <w:rPr>
          <w:rStyle w:val="6"/>
          <w:rFonts w:ascii="Times New Roman" w:hAnsi="Times New Roman"/>
          <w:b w:val="0"/>
          <w:color w:val="auto"/>
          <w:szCs w:val="21"/>
        </w:rPr>
        <w:t>（二）竞买申请人属于以下情形之一的不得参与竞买：</w:t>
      </w:r>
    </w:p>
    <w:p>
      <w:pPr>
        <w:spacing w:line="360" w:lineRule="exact"/>
        <w:ind w:firstLine="420" w:firstLineChars="200"/>
        <w:rPr>
          <w:rStyle w:val="6"/>
          <w:rFonts w:ascii="Times New Roman" w:hAnsi="Times New Roman"/>
          <w:b w:val="0"/>
          <w:color w:val="auto"/>
          <w:szCs w:val="21"/>
        </w:rPr>
      </w:pPr>
      <w:r>
        <w:rPr>
          <w:rStyle w:val="6"/>
          <w:rFonts w:hint="eastAsia" w:ascii="Times New Roman" w:hAnsi="Times New Roman"/>
          <w:b w:val="0"/>
          <w:color w:val="auto"/>
          <w:szCs w:val="21"/>
        </w:rPr>
        <w:t>1、在自然资源部矿业权人勘查开采信息公示系统的“矿业权人异常名录”“矿业权人严重违法名单”内；</w:t>
      </w:r>
    </w:p>
    <w:p>
      <w:pPr>
        <w:spacing w:line="360" w:lineRule="exact"/>
        <w:ind w:firstLine="420" w:firstLineChars="200"/>
        <w:rPr>
          <w:rStyle w:val="6"/>
          <w:rFonts w:ascii="Times New Roman" w:hAnsi="Times New Roman"/>
          <w:b w:val="0"/>
          <w:color w:val="auto"/>
          <w:szCs w:val="21"/>
        </w:rPr>
      </w:pPr>
      <w:r>
        <w:rPr>
          <w:rStyle w:val="6"/>
          <w:rFonts w:hint="eastAsia" w:ascii="Times New Roman" w:hAnsi="Times New Roman"/>
          <w:b w:val="0"/>
          <w:color w:val="auto"/>
          <w:szCs w:val="21"/>
        </w:rPr>
        <w:t>2.通过“信用中国”查询，在自然资源部联合惩戒备忘录或重庆市信用惩戒严重失信主体“黑名单”内限制禁止参与采矿权出让的；</w:t>
      </w:r>
    </w:p>
    <w:p>
      <w:pPr>
        <w:spacing w:line="360" w:lineRule="exact"/>
        <w:ind w:firstLine="420" w:firstLineChars="200"/>
        <w:rPr>
          <w:rStyle w:val="6"/>
          <w:rFonts w:ascii="Times New Roman" w:hAnsi="Times New Roman"/>
          <w:b w:val="0"/>
          <w:color w:val="auto"/>
          <w:szCs w:val="21"/>
        </w:rPr>
      </w:pPr>
      <w:r>
        <w:rPr>
          <w:rStyle w:val="6"/>
          <w:rFonts w:hint="eastAsia" w:ascii="Times New Roman" w:hAnsi="Times New Roman"/>
          <w:b w:val="0"/>
          <w:color w:val="auto"/>
          <w:szCs w:val="21"/>
        </w:rPr>
        <w:t>3.被吊销采矿许可证之日起2年内。</w:t>
      </w:r>
    </w:p>
    <w:p>
      <w:pPr>
        <w:spacing w:line="360" w:lineRule="exact"/>
        <w:ind w:firstLine="422" w:firstLineChars="200"/>
        <w:rPr>
          <w:rStyle w:val="6"/>
          <w:rFonts w:ascii="Times New Roman" w:hAnsi="Times New Roman" w:cs="Times New Roman"/>
          <w:color w:val="auto"/>
          <w:szCs w:val="21"/>
        </w:rPr>
      </w:pPr>
      <w:r>
        <w:rPr>
          <w:rStyle w:val="6"/>
          <w:rFonts w:ascii="Times New Roman" w:hAnsi="Times New Roman" w:cs="Times New Roman"/>
          <w:color w:val="auto"/>
          <w:szCs w:val="21"/>
        </w:rPr>
        <w:t>四、竞买申请</w:t>
      </w:r>
    </w:p>
    <w:p>
      <w:pPr>
        <w:spacing w:line="360" w:lineRule="exact"/>
        <w:ind w:firstLine="420" w:firstLineChars="200"/>
        <w:rPr>
          <w:rStyle w:val="6"/>
          <w:rFonts w:ascii="Times New Roman" w:hAnsi="Times New Roman" w:cs="Times New Roman"/>
          <w:color w:val="auto"/>
          <w:szCs w:val="21"/>
        </w:rPr>
      </w:pPr>
      <w:r>
        <w:rPr>
          <w:rFonts w:ascii="Times New Roman" w:hAnsi="Times New Roman" w:cs="Times New Roman"/>
          <w:color w:val="auto"/>
          <w:szCs w:val="21"/>
        </w:rPr>
        <w:t>（一）在提交采矿权竞买申请之前，竞买申请人应当仔细阅读《重庆市矿业权网上交易规程》、《重庆市国有建设用地使用权和矿业权网上交易应急处置暂行规定》、网上</w:t>
      </w:r>
      <w:r>
        <w:rPr>
          <w:rFonts w:hint="eastAsia" w:ascii="Times New Roman" w:hAnsi="Times New Roman" w:cs="Times New Roman"/>
          <w:color w:val="auto"/>
          <w:szCs w:val="21"/>
        </w:rPr>
        <w:t>出让</w:t>
      </w:r>
      <w:r>
        <w:rPr>
          <w:rFonts w:ascii="Times New Roman" w:hAnsi="Times New Roman" w:cs="Times New Roman"/>
          <w:color w:val="auto"/>
          <w:szCs w:val="21"/>
        </w:rPr>
        <w:t>公告、</w:t>
      </w:r>
      <w:r>
        <w:rPr>
          <w:rFonts w:hint="eastAsia" w:ascii="Times New Roman" w:hAnsi="Times New Roman" w:cs="Times New Roman"/>
          <w:color w:val="auto"/>
          <w:szCs w:val="21"/>
        </w:rPr>
        <w:t>竞买</w:t>
      </w:r>
      <w:r>
        <w:rPr>
          <w:rFonts w:ascii="Times New Roman" w:hAnsi="Times New Roman" w:cs="Times New Roman"/>
          <w:color w:val="auto"/>
          <w:szCs w:val="21"/>
        </w:rPr>
        <w:t>须知和其他相关文件。如对网上交易相关文件及采矿权信息有疑问的，可以向</w:t>
      </w:r>
      <w:r>
        <w:rPr>
          <w:rFonts w:hint="eastAsia" w:ascii="Times New Roman" w:hAnsi="Times New Roman" w:cs="Times New Roman"/>
          <w:color w:val="auto"/>
          <w:szCs w:val="21"/>
        </w:rPr>
        <w:t>交易机构或出让人</w:t>
      </w:r>
      <w:r>
        <w:rPr>
          <w:rFonts w:ascii="Times New Roman" w:hAnsi="Times New Roman" w:cs="Times New Roman"/>
          <w:color w:val="auto"/>
          <w:szCs w:val="21"/>
        </w:rPr>
        <w:t>咨询。</w:t>
      </w:r>
    </w:p>
    <w:p>
      <w:pPr>
        <w:spacing w:line="360" w:lineRule="exact"/>
        <w:ind w:firstLine="420" w:firstLineChars="200"/>
        <w:rPr>
          <w:rStyle w:val="6"/>
          <w:rFonts w:ascii="Times New Roman" w:hAnsi="Times New Roman" w:cs="Times New Roman"/>
          <w:color w:val="auto"/>
          <w:szCs w:val="21"/>
        </w:rPr>
      </w:pPr>
      <w:r>
        <w:rPr>
          <w:rFonts w:ascii="Times New Roman" w:hAnsi="Times New Roman" w:cs="Times New Roman"/>
          <w:color w:val="auto"/>
          <w:szCs w:val="21"/>
        </w:rPr>
        <w:t>（二）竞买申请人应当取得有效数字证书，方能参与网上交易竞买活动。详情请登录网上交易系统网站查看数字证书办理指南。</w:t>
      </w:r>
    </w:p>
    <w:p>
      <w:pPr>
        <w:spacing w:line="360" w:lineRule="exact"/>
        <w:ind w:firstLine="420" w:firstLineChars="200"/>
        <w:rPr>
          <w:rStyle w:val="6"/>
          <w:rFonts w:ascii="Times New Roman" w:hAnsi="Times New Roman" w:cs="Times New Roman"/>
          <w:color w:val="auto"/>
          <w:szCs w:val="21"/>
        </w:rPr>
      </w:pPr>
      <w:r>
        <w:rPr>
          <w:rFonts w:ascii="Times New Roman" w:hAnsi="Times New Roman" w:cs="Times New Roman"/>
          <w:color w:val="auto"/>
          <w:szCs w:val="21"/>
        </w:rPr>
        <w:t>竞买申请人应妥善保管数字证书及其密码，如有遗失或者损毁数字证书、遗忘或者泄露密码的，应及时到原办理机构办理挂失，并重新申领。竞买申请人登记信息有变化的，应及时到数字证书服务机构进行信息变更。</w:t>
      </w:r>
    </w:p>
    <w:p>
      <w:pPr>
        <w:numPr>
          <w:ilvl w:val="0"/>
          <w:numId w:val="1"/>
        </w:numPr>
        <w:spacing w:line="360" w:lineRule="exact"/>
        <w:rPr>
          <w:rFonts w:ascii="Times New Roman" w:hAnsi="Times New Roman" w:cs="Times New Roman"/>
          <w:color w:val="auto"/>
          <w:szCs w:val="21"/>
        </w:rPr>
      </w:pPr>
      <w:r>
        <w:rPr>
          <w:rFonts w:ascii="Times New Roman" w:hAnsi="Times New Roman" w:cs="Times New Roman"/>
          <w:color w:val="auto"/>
          <w:szCs w:val="21"/>
        </w:rPr>
        <w:t>竞买申请人应于</w:t>
      </w:r>
      <w:r>
        <w:rPr>
          <w:rFonts w:hint="eastAsia" w:ascii="Times New Roman" w:hAnsi="Times New Roman" w:cs="Times New Roman"/>
          <w:color w:val="auto"/>
          <w:szCs w:val="21"/>
        </w:rPr>
        <w:t>2021年12月09日12时</w:t>
      </w:r>
      <w:r>
        <w:rPr>
          <w:rFonts w:ascii="Times New Roman" w:hAnsi="Times New Roman" w:cs="Times New Roman"/>
          <w:color w:val="auto"/>
          <w:szCs w:val="21"/>
        </w:rPr>
        <w:t>前登录</w:t>
      </w:r>
      <w:r>
        <w:rPr>
          <w:rFonts w:hint="eastAsia" w:ascii="Times New Roman" w:hAnsi="Times New Roman" w:cs="Times New Roman"/>
          <w:color w:val="auto"/>
          <w:szCs w:val="21"/>
        </w:rPr>
        <w:t>https：//www.cqggzy.com</w:t>
      </w:r>
      <w:r>
        <w:rPr>
          <w:rFonts w:ascii="Times New Roman" w:hAnsi="Times New Roman" w:cs="Times New Roman"/>
          <w:color w:val="auto"/>
          <w:szCs w:val="21"/>
        </w:rPr>
        <w:t>，提交竞买申请。</w:t>
      </w:r>
    </w:p>
    <w:p>
      <w:pPr>
        <w:numPr>
          <w:ilvl w:val="0"/>
          <w:numId w:val="1"/>
        </w:numPr>
        <w:spacing w:line="360" w:lineRule="exact"/>
        <w:rPr>
          <w:rFonts w:ascii="Times New Roman" w:hAnsi="Times New Roman" w:cs="Times New Roman"/>
          <w:color w:val="auto"/>
          <w:szCs w:val="21"/>
        </w:rPr>
      </w:pPr>
      <w:r>
        <w:rPr>
          <w:rFonts w:hint="eastAsia" w:ascii="Times New Roman" w:hAnsi="Times New Roman" w:cs="Times New Roman"/>
          <w:color w:val="auto"/>
          <w:szCs w:val="21"/>
        </w:rPr>
        <w:t>竞买申请一经提交，即视为对交易规则、应急处置办法、出让公告、竞买须知、其他相关文件、采矿权现状等无异议，并对可能存在的风险完全接受。</w:t>
      </w:r>
    </w:p>
    <w:p>
      <w:pPr>
        <w:spacing w:line="360" w:lineRule="exact"/>
        <w:ind w:firstLine="422" w:firstLineChars="200"/>
        <w:rPr>
          <w:rStyle w:val="6"/>
          <w:rFonts w:ascii="Times New Roman" w:hAnsi="Times New Roman" w:cs="Times New Roman"/>
          <w:color w:val="auto"/>
          <w:szCs w:val="21"/>
        </w:rPr>
      </w:pPr>
      <w:r>
        <w:rPr>
          <w:rStyle w:val="6"/>
          <w:rFonts w:ascii="Times New Roman" w:hAnsi="Times New Roman" w:cs="Times New Roman"/>
          <w:color w:val="auto"/>
          <w:szCs w:val="21"/>
        </w:rPr>
        <w:t>五、</w:t>
      </w:r>
      <w:r>
        <w:rPr>
          <w:rStyle w:val="6"/>
          <w:rFonts w:ascii="Times New Roman" w:hAnsi="Times New Roman" w:cs="Times New Roman"/>
          <w:color w:val="auto"/>
          <w:szCs w:val="21"/>
        </w:rPr>
        <w:t>保证金的交纳与转付</w:t>
      </w:r>
    </w:p>
    <w:p>
      <w:pPr>
        <w:spacing w:line="360" w:lineRule="exact"/>
        <w:ind w:firstLine="420" w:firstLineChars="200"/>
        <w:rPr>
          <w:rStyle w:val="6"/>
          <w:rFonts w:ascii="Times New Roman" w:hAnsi="Times New Roman" w:cs="Times New Roman"/>
          <w:color w:val="auto"/>
          <w:szCs w:val="21"/>
        </w:rPr>
      </w:pPr>
      <w:r>
        <w:rPr>
          <w:rFonts w:ascii="Times New Roman" w:hAnsi="Times New Roman" w:cs="Times New Roman"/>
          <w:color w:val="auto"/>
          <w:szCs w:val="21"/>
        </w:rPr>
        <w:t>（一）采矿权保证金由竞买单位自行支付，交款人需与竞买申请人一致，不接受代交款和个人名义交款。</w:t>
      </w:r>
    </w:p>
    <w:p>
      <w:pPr>
        <w:spacing w:line="360" w:lineRule="exact"/>
        <w:ind w:firstLine="420" w:firstLineChars="200"/>
        <w:rPr>
          <w:rStyle w:val="6"/>
          <w:rFonts w:ascii="Times New Roman" w:hAnsi="Times New Roman" w:cs="Times New Roman"/>
          <w:color w:val="auto"/>
          <w:szCs w:val="21"/>
        </w:rPr>
      </w:pPr>
      <w:r>
        <w:rPr>
          <w:rFonts w:ascii="Times New Roman" w:hAnsi="Times New Roman" w:cs="Times New Roman"/>
          <w:color w:val="auto"/>
          <w:szCs w:val="21"/>
        </w:rPr>
        <w:t>（二）保证金的交纳：</w:t>
      </w:r>
    </w:p>
    <w:p>
      <w:pPr>
        <w:spacing w:line="360" w:lineRule="exact"/>
        <w:ind w:firstLine="420" w:firstLineChars="200"/>
        <w:rPr>
          <w:rStyle w:val="6"/>
          <w:rFonts w:ascii="Times New Roman" w:hAnsi="Times New Roman" w:cs="Times New Roman"/>
          <w:color w:val="auto"/>
          <w:szCs w:val="21"/>
        </w:rPr>
      </w:pPr>
      <w:r>
        <w:rPr>
          <w:rFonts w:ascii="Times New Roman" w:hAnsi="Times New Roman" w:cs="Times New Roman"/>
          <w:color w:val="auto"/>
          <w:szCs w:val="21"/>
        </w:rPr>
        <w:t>1、竞买申请人在网上交易系统提交竞买申请后，网上交易系统会自动生成唯一的随机竞买保证金子账号。竞买申请人应在规定时间内，将竞买保证金交入随机生成的保证金子账号。每次提交竞买申请及交纳竞买保证金只对应一宗采矿权，竞买多宗采矿权的，应分别提交申请并按时足额交纳竞买保证金。</w:t>
      </w:r>
    </w:p>
    <w:p>
      <w:pPr>
        <w:spacing w:line="360" w:lineRule="exact"/>
        <w:ind w:firstLine="420" w:firstLineChars="200"/>
        <w:rPr>
          <w:rStyle w:val="6"/>
          <w:rFonts w:ascii="Times New Roman" w:hAnsi="Times New Roman" w:cs="Times New Roman"/>
          <w:color w:val="auto"/>
          <w:szCs w:val="21"/>
          <w:u w:val="single"/>
        </w:rPr>
      </w:pPr>
      <w:r>
        <w:rPr>
          <w:rFonts w:ascii="Times New Roman" w:hAnsi="Times New Roman" w:cs="Times New Roman"/>
          <w:color w:val="auto"/>
          <w:szCs w:val="21"/>
        </w:rPr>
        <w:t>2、竞买申请人应于报名截止时间之前缴纳竞买保证金人民币</w:t>
      </w:r>
      <w:r>
        <w:rPr>
          <w:rFonts w:hint="eastAsia" w:ascii="宋体" w:hAnsi="宋体" w:eastAsia="宋体" w:cs="宋体"/>
          <w:b/>
          <w:bCs/>
          <w:color w:val="auto"/>
          <w:szCs w:val="21"/>
        </w:rPr>
        <w:t>1029</w:t>
      </w:r>
      <w:r>
        <w:rPr>
          <w:rFonts w:ascii="Times New Roman" w:hAnsi="Times New Roman" w:cs="Times New Roman"/>
          <w:b/>
          <w:bCs/>
          <w:color w:val="auto"/>
          <w:szCs w:val="21"/>
        </w:rPr>
        <w:t>万元（大写：</w:t>
      </w:r>
      <w:r>
        <w:rPr>
          <w:rFonts w:hint="eastAsia" w:ascii="宋体" w:hAnsi="宋体" w:eastAsia="宋体" w:cs="宋体"/>
          <w:b/>
          <w:bCs/>
          <w:color w:val="auto"/>
          <w:szCs w:val="21"/>
        </w:rPr>
        <w:t>壹仟零贰拾玖万元整</w:t>
      </w:r>
      <w:r>
        <w:rPr>
          <w:rFonts w:ascii="Times New Roman" w:hAnsi="Times New Roman" w:cs="Times New Roman"/>
          <w:color w:val="auto"/>
          <w:szCs w:val="21"/>
        </w:rPr>
        <w:t>）</w:t>
      </w:r>
      <w:r>
        <w:rPr>
          <w:rFonts w:ascii="Times New Roman" w:hAnsi="Times New Roman" w:cs="Times New Roman"/>
          <w:color w:val="auto"/>
          <w:szCs w:val="21"/>
        </w:rPr>
        <w:t>。交款时间以银行确认的到帐时间为准，保证金未按时到帐的，不予受理报名。竞买保证金到账截止时间为：</w:t>
      </w:r>
      <w:r>
        <w:rPr>
          <w:rFonts w:hint="eastAsia" w:ascii="Times New Roman" w:hAnsi="Times New Roman" w:cs="Times New Roman"/>
          <w:color w:val="auto"/>
          <w:szCs w:val="21"/>
        </w:rPr>
        <w:t>2021年12月09日12时</w:t>
      </w:r>
      <w:r>
        <w:rPr>
          <w:rFonts w:ascii="Times New Roman" w:hAnsi="Times New Roman" w:cs="Times New Roman"/>
          <w:color w:val="auto"/>
          <w:szCs w:val="21"/>
        </w:rPr>
        <w:t>。</w:t>
      </w:r>
    </w:p>
    <w:p>
      <w:pPr>
        <w:spacing w:line="360" w:lineRule="exact"/>
        <w:ind w:firstLine="420" w:firstLineChars="200"/>
        <w:rPr>
          <w:rStyle w:val="6"/>
          <w:rFonts w:ascii="Times New Roman" w:hAnsi="Times New Roman" w:cs="Times New Roman"/>
          <w:color w:val="auto"/>
          <w:szCs w:val="21"/>
        </w:rPr>
      </w:pPr>
      <w:r>
        <w:rPr>
          <w:rFonts w:ascii="Times New Roman" w:hAnsi="Times New Roman" w:cs="Times New Roman"/>
          <w:color w:val="auto"/>
          <w:szCs w:val="21"/>
        </w:rPr>
        <w:t>温馨提示：为避免因竞买保证金到账时间延误，影响您顺利获取网上交易竞买资格，建议您在竞买保证金到账截止时间的1至2天之前交纳竞买保证金。</w:t>
      </w:r>
    </w:p>
    <w:p>
      <w:pPr>
        <w:spacing w:line="360" w:lineRule="exact"/>
        <w:ind w:firstLine="420" w:firstLineChars="200"/>
        <w:rPr>
          <w:rStyle w:val="6"/>
          <w:rFonts w:ascii="Times New Roman" w:hAnsi="Times New Roman" w:cs="Times New Roman"/>
          <w:color w:val="auto"/>
          <w:szCs w:val="21"/>
        </w:rPr>
      </w:pPr>
      <w:r>
        <w:rPr>
          <w:rFonts w:ascii="Times New Roman" w:hAnsi="Times New Roman" w:cs="Times New Roman"/>
          <w:color w:val="auto"/>
          <w:szCs w:val="21"/>
        </w:rPr>
        <w:t>保证金账户只接受银行转账或电汇方式转入，不接受现金或现金汇款。</w:t>
      </w:r>
    </w:p>
    <w:p>
      <w:pPr>
        <w:spacing w:line="360" w:lineRule="exact"/>
        <w:ind w:firstLine="420" w:firstLineChars="200"/>
        <w:rPr>
          <w:rStyle w:val="6"/>
          <w:rFonts w:ascii="Times New Roman" w:hAnsi="Times New Roman" w:cs="Times New Roman"/>
          <w:color w:val="auto"/>
          <w:szCs w:val="21"/>
        </w:rPr>
      </w:pPr>
      <w:r>
        <w:rPr>
          <w:rFonts w:ascii="Times New Roman" w:hAnsi="Times New Roman" w:cs="Times New Roman"/>
          <w:color w:val="auto"/>
          <w:szCs w:val="21"/>
        </w:rPr>
        <w:t>3、竞买申请人在规定时间内足额交纳了竞买保证金至指定账户的（以保证金到达指定账户时间为准），网上交易系统会自动颁发《采矿权竞买保证金到账确认书》。对资格后审采矿权，系统自动确认其竞买资格；对资格前审采矿权，竞买申请人在网上交易系统上传报名资料电子档进行资格审查，审查通过，确认其竞买资格。竞买申请人没有按时足额交纳竞买保证金的、资格前审未通过的，不能获得竞买资格。</w:t>
      </w:r>
    </w:p>
    <w:p>
      <w:pPr>
        <w:spacing w:line="360" w:lineRule="exact"/>
        <w:ind w:firstLine="420" w:firstLineChars="200"/>
        <w:rPr>
          <w:rStyle w:val="6"/>
          <w:rFonts w:ascii="Times New Roman" w:hAnsi="Times New Roman" w:cs="Times New Roman"/>
          <w:color w:val="auto"/>
          <w:szCs w:val="21"/>
        </w:rPr>
      </w:pPr>
      <w:r>
        <w:rPr>
          <w:rFonts w:ascii="Times New Roman" w:hAnsi="Times New Roman" w:cs="Times New Roman"/>
          <w:color w:val="auto"/>
          <w:szCs w:val="21"/>
        </w:rPr>
        <w:t>（三）如成功竞得，已交纳的保证金抵作采矿权出让价款，由竞得人委托</w:t>
      </w:r>
      <w:r>
        <w:rPr>
          <w:rFonts w:hint="eastAsia" w:ascii="Times New Roman" w:hAnsi="Times New Roman" w:cs="Times New Roman"/>
          <w:color w:val="auto"/>
          <w:szCs w:val="21"/>
        </w:rPr>
        <w:t>保证金收缴单位</w:t>
      </w:r>
      <w:r>
        <w:rPr>
          <w:rFonts w:ascii="Times New Roman" w:hAnsi="Times New Roman" w:cs="Times New Roman"/>
          <w:color w:val="auto"/>
          <w:szCs w:val="21"/>
        </w:rPr>
        <w:t>支付至财政非税收入专户；如未竞得，可在1个工作日内办理退还手续，不计利息。</w:t>
      </w:r>
    </w:p>
    <w:p>
      <w:pPr>
        <w:spacing w:line="360" w:lineRule="exact"/>
        <w:ind w:firstLine="422" w:firstLineChars="200"/>
        <w:rPr>
          <w:rStyle w:val="6"/>
          <w:rFonts w:ascii="Times New Roman" w:hAnsi="Times New Roman" w:cs="Times New Roman"/>
          <w:color w:val="auto"/>
          <w:szCs w:val="21"/>
        </w:rPr>
      </w:pPr>
      <w:r>
        <w:rPr>
          <w:rStyle w:val="6"/>
          <w:rFonts w:ascii="Times New Roman" w:hAnsi="Times New Roman" w:cs="Times New Roman"/>
          <w:color w:val="auto"/>
          <w:szCs w:val="21"/>
        </w:rPr>
        <w:t>六、资格审查及交易方式</w:t>
      </w:r>
    </w:p>
    <w:p>
      <w:pPr>
        <w:spacing w:line="360" w:lineRule="exact"/>
        <w:ind w:firstLine="420" w:firstLineChars="200"/>
        <w:rPr>
          <w:rFonts w:ascii="Times New Roman" w:hAnsi="Times New Roman" w:cs="Times New Roman"/>
          <w:color w:val="auto"/>
          <w:szCs w:val="21"/>
        </w:rPr>
      </w:pPr>
      <w:r>
        <w:rPr>
          <w:rFonts w:hint="eastAsia" w:ascii="Times New Roman" w:hAnsi="Times New Roman" w:cs="Times New Roman"/>
          <w:color w:val="auto"/>
          <w:szCs w:val="21"/>
        </w:rPr>
        <w:t>（一）资格审查</w:t>
      </w:r>
    </w:p>
    <w:p>
      <w:pPr>
        <w:spacing w:line="360" w:lineRule="exact"/>
        <w:ind w:firstLine="420" w:firstLineChars="200"/>
        <w:rPr>
          <w:rStyle w:val="6"/>
          <w:rFonts w:ascii="Times New Roman" w:hAnsi="Times New Roman" w:cs="Times New Roman"/>
          <w:b w:val="0"/>
          <w:color w:val="auto"/>
          <w:szCs w:val="21"/>
        </w:rPr>
      </w:pPr>
      <w:r>
        <w:rPr>
          <w:rFonts w:ascii="Times New Roman" w:hAnsi="Times New Roman" w:cs="Times New Roman"/>
          <w:color w:val="auto"/>
          <w:szCs w:val="21"/>
        </w:rPr>
        <w:t>本宗采矿权网上交易实行竞买资格前审制度，即竞买申请人在网上交易系统按规定递交竞买申请，并按时足额交纳了竞买保证金后，同时在网上交易系统提交报名资料电子档，报名资料审查符合竞买条件的获得竞买资格，可参与竞价；报名资料审查不符合竞买条件的，不能取得竞买资格，不能参与竞价，并办理保证金退还手续。对因存在违约行为或报名资料不齐而资格审查未通过的，竞买申请人可在报名期内消除违约行为或补齐报名资料后重新参与资格审查。</w:t>
      </w:r>
      <w:r>
        <w:rPr>
          <w:rFonts w:hint="eastAsia" w:ascii="Times New Roman" w:hAnsi="Times New Roman" w:cs="Times New Roman"/>
          <w:color w:val="auto"/>
          <w:szCs w:val="21"/>
        </w:rPr>
        <w:t>竞买申请人须在</w:t>
      </w:r>
      <w:r>
        <w:rPr>
          <w:rStyle w:val="6"/>
          <w:rFonts w:hint="eastAsia" w:ascii="Times New Roman" w:hAnsi="Times New Roman" w:cs="Times New Roman"/>
          <w:b w:val="0"/>
          <w:color w:val="auto"/>
          <w:szCs w:val="21"/>
        </w:rPr>
        <w:t>网上交易系统提交的电子报名资料如下：</w:t>
      </w:r>
    </w:p>
    <w:p>
      <w:pPr>
        <w:spacing w:line="360" w:lineRule="exact"/>
        <w:ind w:firstLine="420" w:firstLineChars="200"/>
        <w:rPr>
          <w:rStyle w:val="6"/>
          <w:rFonts w:ascii="Times New Roman" w:hAnsi="Times New Roman" w:cs="Times New Roman"/>
          <w:color w:val="auto"/>
          <w:szCs w:val="21"/>
        </w:rPr>
      </w:pPr>
      <w:r>
        <w:rPr>
          <w:rFonts w:hint="eastAsia" w:ascii="Times New Roman" w:hAnsi="Times New Roman" w:cs="Times New Roman"/>
          <w:color w:val="auto"/>
          <w:szCs w:val="21"/>
        </w:rPr>
        <w:t>1、</w:t>
      </w:r>
      <w:r>
        <w:rPr>
          <w:rFonts w:ascii="Times New Roman" w:hAnsi="Times New Roman" w:cs="Times New Roman"/>
          <w:color w:val="auto"/>
          <w:szCs w:val="21"/>
        </w:rPr>
        <w:t>竞买申请人签署意见的《采矿权竞买须知》、《采矿权竞买申请书》；</w:t>
      </w:r>
    </w:p>
    <w:p>
      <w:pPr>
        <w:spacing w:line="360" w:lineRule="exact"/>
        <w:ind w:firstLine="420" w:firstLineChars="200"/>
        <w:rPr>
          <w:rStyle w:val="6"/>
          <w:rFonts w:ascii="Times New Roman" w:hAnsi="Times New Roman" w:cs="Times New Roman"/>
          <w:color w:val="auto"/>
          <w:szCs w:val="21"/>
        </w:rPr>
      </w:pPr>
      <w:r>
        <w:rPr>
          <w:rFonts w:hint="eastAsia" w:ascii="Times New Roman" w:hAnsi="Times New Roman" w:cs="Times New Roman"/>
          <w:color w:val="auto"/>
          <w:szCs w:val="21"/>
        </w:rPr>
        <w:t>2、</w:t>
      </w:r>
      <w:r>
        <w:rPr>
          <w:rFonts w:ascii="Times New Roman" w:hAnsi="Times New Roman" w:cs="Times New Roman"/>
          <w:color w:val="auto"/>
          <w:szCs w:val="21"/>
        </w:rPr>
        <w:t>网上交易系统下载的《采矿权竞买保证金到账确认书》；</w:t>
      </w:r>
    </w:p>
    <w:p>
      <w:pPr>
        <w:spacing w:line="360" w:lineRule="exact"/>
        <w:ind w:firstLine="420" w:firstLineChars="200"/>
        <w:rPr>
          <w:rStyle w:val="6"/>
          <w:rFonts w:ascii="Times New Roman" w:hAnsi="Times New Roman" w:cs="Times New Roman"/>
          <w:color w:val="auto"/>
          <w:szCs w:val="21"/>
        </w:rPr>
      </w:pPr>
      <w:r>
        <w:rPr>
          <w:rFonts w:hint="eastAsia" w:ascii="Times New Roman" w:hAnsi="Times New Roman" w:cs="Times New Roman"/>
          <w:color w:val="auto"/>
          <w:szCs w:val="21"/>
        </w:rPr>
        <w:t>3、</w:t>
      </w:r>
      <w:r>
        <w:rPr>
          <w:rFonts w:ascii="Times New Roman" w:hAnsi="Times New Roman" w:cs="Times New Roman"/>
          <w:color w:val="auto"/>
          <w:szCs w:val="21"/>
        </w:rPr>
        <w:t>单位工商营业执照副本（</w:t>
      </w:r>
      <w:r>
        <w:rPr>
          <w:rFonts w:hint="eastAsia" w:ascii="Times New Roman" w:hAnsi="Times New Roman" w:cs="Times New Roman"/>
          <w:color w:val="auto"/>
          <w:szCs w:val="21"/>
        </w:rPr>
        <w:t>盖章扫描件</w:t>
      </w:r>
      <w:r>
        <w:rPr>
          <w:rFonts w:ascii="Times New Roman" w:hAnsi="Times New Roman" w:cs="Times New Roman"/>
          <w:color w:val="auto"/>
          <w:szCs w:val="21"/>
        </w:rPr>
        <w:t>）；</w:t>
      </w:r>
    </w:p>
    <w:p>
      <w:pPr>
        <w:spacing w:line="360" w:lineRule="exact"/>
        <w:ind w:firstLine="420" w:firstLineChars="200"/>
        <w:rPr>
          <w:rStyle w:val="6"/>
          <w:rFonts w:ascii="Times New Roman" w:hAnsi="Times New Roman" w:cs="Times New Roman"/>
          <w:color w:val="auto"/>
          <w:szCs w:val="21"/>
        </w:rPr>
      </w:pPr>
      <w:r>
        <w:rPr>
          <w:rFonts w:hint="eastAsia" w:ascii="Times New Roman" w:hAnsi="Times New Roman" w:cs="Times New Roman"/>
          <w:color w:val="auto"/>
          <w:szCs w:val="21"/>
        </w:rPr>
        <w:t>4、</w:t>
      </w:r>
      <w:r>
        <w:rPr>
          <w:rFonts w:ascii="Times New Roman" w:hAnsi="Times New Roman" w:cs="Times New Roman"/>
          <w:color w:val="auto"/>
          <w:szCs w:val="21"/>
        </w:rPr>
        <w:t>法定代表人的有效身份证</w:t>
      </w:r>
      <w:r>
        <w:rPr>
          <w:rFonts w:hint="eastAsia" w:ascii="Times New Roman" w:hAnsi="Times New Roman" w:cs="Times New Roman"/>
          <w:color w:val="auto"/>
          <w:szCs w:val="21"/>
        </w:rPr>
        <w:t>明</w:t>
      </w:r>
      <w:r>
        <w:rPr>
          <w:rFonts w:ascii="Times New Roman" w:hAnsi="Times New Roman" w:cs="Times New Roman"/>
          <w:color w:val="auto"/>
          <w:szCs w:val="21"/>
        </w:rPr>
        <w:t>（</w:t>
      </w:r>
      <w:r>
        <w:rPr>
          <w:rFonts w:hint="eastAsia" w:ascii="Times New Roman" w:hAnsi="Times New Roman" w:cs="Times New Roman"/>
          <w:color w:val="auto"/>
          <w:szCs w:val="21"/>
        </w:rPr>
        <w:t>盖章扫描件</w:t>
      </w:r>
      <w:r>
        <w:rPr>
          <w:rFonts w:ascii="Times New Roman" w:hAnsi="Times New Roman" w:cs="Times New Roman"/>
          <w:color w:val="auto"/>
          <w:szCs w:val="21"/>
        </w:rPr>
        <w:t>）；</w:t>
      </w:r>
    </w:p>
    <w:p>
      <w:pPr>
        <w:spacing w:line="360" w:lineRule="exact"/>
        <w:ind w:firstLine="420" w:firstLineChars="200"/>
        <w:rPr>
          <w:rFonts w:ascii="Times New Roman" w:hAnsi="Times New Roman" w:cs="Times New Roman"/>
          <w:color w:val="auto"/>
          <w:szCs w:val="21"/>
        </w:rPr>
      </w:pPr>
      <w:r>
        <w:rPr>
          <w:rFonts w:hint="eastAsia" w:ascii="Times New Roman" w:hAnsi="Times New Roman" w:cs="Times New Roman"/>
          <w:color w:val="auto"/>
          <w:szCs w:val="21"/>
        </w:rPr>
        <w:t>5、申请人委托他人办理的，应提交委托代理人的《授权委托书》及受托人的有效身份证明（盖章扫描件）</w:t>
      </w:r>
      <w:r>
        <w:rPr>
          <w:rFonts w:ascii="Times New Roman" w:hAnsi="Times New Roman" w:cs="Times New Roman"/>
          <w:color w:val="auto"/>
          <w:szCs w:val="21"/>
        </w:rPr>
        <w:t>；</w:t>
      </w:r>
    </w:p>
    <w:p>
      <w:pPr>
        <w:spacing w:line="360" w:lineRule="exact"/>
        <w:ind w:firstLine="420" w:firstLineChars="200"/>
        <w:rPr>
          <w:rStyle w:val="6"/>
          <w:rFonts w:ascii="Times New Roman" w:hAnsi="Times New Roman" w:cs="Times New Roman"/>
          <w:b w:val="0"/>
          <w:color w:val="auto"/>
          <w:szCs w:val="21"/>
        </w:rPr>
      </w:pPr>
      <w:r>
        <w:rPr>
          <w:rStyle w:val="6"/>
          <w:rFonts w:hint="eastAsia" w:ascii="Times New Roman" w:hAnsi="Times New Roman" w:cs="Times New Roman"/>
          <w:b w:val="0"/>
          <w:color w:val="auto"/>
          <w:szCs w:val="21"/>
        </w:rPr>
        <w:t>（二）交易方式</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Times New Roman" w:hAnsi="Times New Roman" w:cs="Times New Roman"/>
          <w:b w:val="0"/>
          <w:bCs/>
          <w:color w:val="auto"/>
          <w:szCs w:val="21"/>
        </w:rPr>
      </w:pPr>
      <w:r>
        <w:rPr>
          <w:rFonts w:hint="eastAsia" w:ascii="Times New Roman" w:hAnsi="Times New Roman" w:cs="Times New Roman"/>
          <w:b w:val="0"/>
          <w:bCs/>
          <w:color w:val="auto"/>
          <w:szCs w:val="21"/>
        </w:rPr>
        <w:t>本宗采矿权采用现场交易方式交易，采矿权出让方式根据报名情况确定，竞买人只有1家的，将采用线下挂牌方式出让，竞买人有2家以上（含2家），采用线下拍卖方式出让，拍卖时间另行通知。</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Times New Roman" w:hAnsi="Times New Roman" w:cs="Times New Roman"/>
          <w:b w:val="0"/>
          <w:bCs/>
          <w:color w:val="auto"/>
          <w:szCs w:val="21"/>
        </w:rPr>
      </w:pPr>
      <w:r>
        <w:rPr>
          <w:rFonts w:hint="eastAsia" w:ascii="Times New Roman" w:hAnsi="Times New Roman" w:cs="Times New Roman"/>
          <w:b w:val="0"/>
          <w:bCs/>
          <w:color w:val="auto"/>
          <w:szCs w:val="21"/>
          <w:lang w:val="en-US" w:eastAsia="zh-CN"/>
        </w:rPr>
        <w:t>1.</w:t>
      </w:r>
      <w:r>
        <w:rPr>
          <w:rFonts w:hint="eastAsia" w:ascii="Times New Roman" w:hAnsi="Times New Roman" w:cs="Times New Roman"/>
          <w:b w:val="0"/>
          <w:bCs/>
          <w:color w:val="auto"/>
          <w:szCs w:val="21"/>
        </w:rPr>
        <w:t>线下挂牌交易：获得竞买资格的竞买人在一个工作日内现场提交《采矿权挂牌报价单》后，当场签订《采矿权出让成交确认书》。</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Style w:val="6"/>
          <w:rFonts w:ascii="Times New Roman" w:hAnsi="Times New Roman" w:cs="Times New Roman"/>
          <w:color w:val="auto"/>
          <w:szCs w:val="21"/>
        </w:rPr>
      </w:pPr>
      <w:r>
        <w:rPr>
          <w:rFonts w:hint="eastAsia" w:ascii="Times New Roman" w:hAnsi="Times New Roman" w:cs="Times New Roman"/>
          <w:b w:val="0"/>
          <w:bCs/>
          <w:color w:val="auto"/>
          <w:szCs w:val="21"/>
          <w:lang w:val="en-US" w:eastAsia="zh-CN"/>
        </w:rPr>
        <w:t>2.</w:t>
      </w:r>
      <w:r>
        <w:rPr>
          <w:rFonts w:hint="eastAsia" w:ascii="Times New Roman" w:hAnsi="Times New Roman" w:cs="Times New Roman"/>
          <w:b w:val="0"/>
          <w:bCs/>
          <w:color w:val="auto"/>
          <w:szCs w:val="21"/>
        </w:rPr>
        <w:t>线下拍卖交易：获得竞买资格的竞买人持</w:t>
      </w:r>
      <w:r>
        <w:rPr>
          <w:rFonts w:hint="eastAsia" w:ascii="Times New Roman" w:hAnsi="Times New Roman" w:cs="Times New Roman"/>
          <w:b w:val="0"/>
          <w:bCs/>
          <w:color w:val="auto"/>
          <w:szCs w:val="21"/>
          <w:lang w:val="en-US" w:eastAsia="zh-CN"/>
        </w:rPr>
        <w:t>报名资料</w:t>
      </w:r>
      <w:r>
        <w:rPr>
          <w:rFonts w:hint="eastAsia" w:ascii="Times New Roman" w:hAnsi="Times New Roman" w:cs="Times New Roman"/>
          <w:b w:val="0"/>
          <w:bCs/>
          <w:color w:val="auto"/>
          <w:szCs w:val="21"/>
        </w:rPr>
        <w:t>纸质件（原件）到重庆市公共资源交易中心土地和资源交易分中心办理领取拍卖号牌登记，参与现场拍卖。起拍价在公告起始价的基础上上浮5‰-10‰，报价以增价方式进行，每次加价幅度为</w:t>
      </w:r>
      <w:r>
        <w:rPr>
          <w:rFonts w:hint="eastAsia" w:ascii="Times New Roman" w:hAnsi="Times New Roman" w:cs="Times New Roman"/>
          <w:b w:val="0"/>
          <w:bCs/>
          <w:color w:val="auto"/>
          <w:szCs w:val="21"/>
          <w:lang w:val="en-US" w:eastAsia="zh-CN"/>
        </w:rPr>
        <w:t>40</w:t>
      </w:r>
      <w:r>
        <w:rPr>
          <w:rFonts w:hint="eastAsia" w:ascii="Times New Roman" w:hAnsi="Times New Roman" w:cs="Times New Roman"/>
          <w:b w:val="0"/>
          <w:bCs/>
          <w:color w:val="auto"/>
          <w:szCs w:val="21"/>
        </w:rPr>
        <w:t>万元。</w:t>
      </w:r>
    </w:p>
    <w:p>
      <w:pPr>
        <w:spacing w:line="360" w:lineRule="exact"/>
        <w:ind w:firstLine="422" w:firstLineChars="200"/>
        <w:rPr>
          <w:rFonts w:ascii="Times New Roman" w:hAnsi="Times New Roman" w:cs="Times New Roman"/>
          <w:color w:val="auto"/>
          <w:szCs w:val="21"/>
        </w:rPr>
      </w:pPr>
      <w:r>
        <w:rPr>
          <w:rStyle w:val="6"/>
          <w:rFonts w:ascii="Times New Roman" w:hAnsi="Times New Roman" w:cs="Times New Roman"/>
          <w:color w:val="auto"/>
          <w:szCs w:val="21"/>
        </w:rPr>
        <w:t>七、</w:t>
      </w:r>
      <w:r>
        <w:rPr>
          <w:rFonts w:ascii="Times New Roman" w:hAnsi="Times New Roman" w:cs="Times New Roman"/>
          <w:color w:val="auto"/>
          <w:szCs w:val="21"/>
        </w:rPr>
        <w:t>拍卖、挂牌程序及竞得方式按国家及重庆市有关规定执行。如在拍卖、挂牌程序中，本采矿权因监管部门要求需终止交易行为的，在告知竞买申请人后，退还采矿权竞买申请人已交纳的竞买保证金，不计利息。</w:t>
      </w:r>
    </w:p>
    <w:p>
      <w:pPr>
        <w:spacing w:line="360" w:lineRule="exact"/>
        <w:ind w:firstLine="422" w:firstLineChars="200"/>
        <w:rPr>
          <w:rFonts w:ascii="Times New Roman" w:hAnsi="Times New Roman" w:cs="Times New Roman"/>
          <w:color w:val="auto"/>
          <w:szCs w:val="21"/>
        </w:rPr>
      </w:pPr>
      <w:r>
        <w:rPr>
          <w:rStyle w:val="6"/>
          <w:rFonts w:hint="eastAsia" w:ascii="Times New Roman" w:hAnsi="Times New Roman" w:cs="Times New Roman"/>
          <w:color w:val="auto"/>
          <w:szCs w:val="21"/>
        </w:rPr>
        <w:t>八</w:t>
      </w:r>
      <w:r>
        <w:rPr>
          <w:rStyle w:val="6"/>
          <w:rFonts w:ascii="Times New Roman" w:hAnsi="Times New Roman" w:cs="Times New Roman"/>
          <w:color w:val="auto"/>
          <w:szCs w:val="21"/>
        </w:rPr>
        <w:t>、成交确认</w:t>
      </w:r>
      <w:r>
        <w:rPr>
          <w:rFonts w:ascii="Times New Roman" w:hAnsi="Times New Roman" w:cs="Times New Roman"/>
          <w:color w:val="auto"/>
          <w:szCs w:val="21"/>
        </w:rPr>
        <w:t xml:space="preserve"> </w:t>
      </w:r>
    </w:p>
    <w:p>
      <w:pPr>
        <w:spacing w:line="360" w:lineRule="exact"/>
        <w:ind w:firstLine="420" w:firstLineChars="200"/>
        <w:rPr>
          <w:rFonts w:hint="eastAsia" w:asciiTheme="minorEastAsia" w:hAnsiTheme="minorEastAsia" w:cstheme="minorEastAsia"/>
          <w:color w:val="auto"/>
          <w:szCs w:val="21"/>
        </w:rPr>
      </w:pPr>
      <w:r>
        <w:rPr>
          <w:rFonts w:hint="eastAsia" w:asciiTheme="minorEastAsia" w:hAnsiTheme="minorEastAsia" w:cstheme="minorEastAsia"/>
          <w:color w:val="auto"/>
          <w:szCs w:val="21"/>
        </w:rPr>
        <w:t>挂牌、拍卖交易结束后竞得人与重庆市公共资源交易中心现场签订《采矿权出让成交确认书》。</w:t>
      </w:r>
    </w:p>
    <w:p>
      <w:pPr>
        <w:spacing w:line="360" w:lineRule="exact"/>
        <w:ind w:firstLine="422" w:firstLineChars="200"/>
        <w:rPr>
          <w:rStyle w:val="6"/>
          <w:rFonts w:ascii="Times New Roman" w:hAnsi="Times New Roman" w:cs="Times New Roman"/>
          <w:color w:val="auto"/>
        </w:rPr>
      </w:pPr>
      <w:r>
        <w:rPr>
          <w:rStyle w:val="6"/>
          <w:rFonts w:hint="eastAsia" w:ascii="Times New Roman" w:hAnsi="Times New Roman" w:cs="Times New Roman"/>
          <w:color w:val="auto"/>
          <w:szCs w:val="21"/>
        </w:rPr>
        <w:t>九</w:t>
      </w:r>
      <w:r>
        <w:rPr>
          <w:rStyle w:val="6"/>
          <w:rFonts w:ascii="Times New Roman" w:hAnsi="Times New Roman" w:cs="Times New Roman"/>
          <w:color w:val="auto"/>
          <w:szCs w:val="21"/>
        </w:rPr>
        <w:t>、</w:t>
      </w:r>
      <w:r>
        <w:rPr>
          <w:rStyle w:val="6"/>
          <w:rFonts w:ascii="Times New Roman" w:hAnsi="Times New Roman" w:cs="Times New Roman"/>
          <w:color w:val="auto"/>
        </w:rPr>
        <w:t>采矿权出让收益缴纳</w:t>
      </w:r>
    </w:p>
    <w:p>
      <w:pPr>
        <w:spacing w:line="360" w:lineRule="exact"/>
        <w:ind w:firstLine="420" w:firstLineChars="200"/>
        <w:rPr>
          <w:rFonts w:asciiTheme="minorEastAsia" w:hAnsiTheme="minorEastAsia" w:cstheme="minorEastAsia"/>
          <w:color w:val="auto"/>
          <w:szCs w:val="21"/>
        </w:rPr>
      </w:pPr>
      <w:r>
        <w:rPr>
          <w:rFonts w:hint="eastAsia" w:asciiTheme="minorEastAsia" w:hAnsiTheme="minorEastAsia" w:cstheme="minorEastAsia"/>
          <w:color w:val="auto"/>
          <w:szCs w:val="21"/>
        </w:rPr>
        <w:t>该宗采矿权出让收益分6期缴纳，首期缴纳金额为总出让收益的20%缴纳（在采矿权出让合同签订之日起7个工作日内缴纳），且不低于200万元；第2期缴纳总出让收益的19%（在采矿权出让合同签订之日起1个顺延年内缴纳），第3期缴纳金额为总出让收益的18%（在采矿权出让合同签订之日起2个顺延年内缴纳），第4期缴纳金额为总出让收益的16%（在采矿权出让合同签订之日起3个顺延年内缴纳），第5期缴纳金额为总出让收益的14%（在采矿权出让合同签订之日起4个顺延年内缴纳），第6期缴纳总出让收益剩余部分（在采矿权出让合同签订之日起5个顺延年内缴纳）。</w:t>
      </w:r>
    </w:p>
    <w:p>
      <w:pPr>
        <w:spacing w:line="360" w:lineRule="exact"/>
        <w:ind w:firstLine="422" w:firstLineChars="200"/>
        <w:rPr>
          <w:rStyle w:val="6"/>
          <w:rFonts w:ascii="Times New Roman" w:hAnsi="Times New Roman" w:cs="Times New Roman"/>
          <w:color w:val="auto"/>
          <w:szCs w:val="21"/>
        </w:rPr>
      </w:pPr>
      <w:r>
        <w:rPr>
          <w:rStyle w:val="6"/>
          <w:rFonts w:hint="eastAsia" w:ascii="Times New Roman" w:hAnsi="Times New Roman" w:cs="Times New Roman"/>
          <w:color w:val="auto"/>
          <w:szCs w:val="21"/>
        </w:rPr>
        <w:t>十</w:t>
      </w:r>
      <w:r>
        <w:rPr>
          <w:rStyle w:val="6"/>
          <w:rFonts w:ascii="Times New Roman" w:hAnsi="Times New Roman" w:cs="Times New Roman"/>
          <w:color w:val="auto"/>
          <w:szCs w:val="21"/>
        </w:rPr>
        <w:t>、交易中止或终止</w:t>
      </w:r>
    </w:p>
    <w:p>
      <w:pPr>
        <w:spacing w:line="360" w:lineRule="exact"/>
        <w:ind w:firstLine="420" w:firstLineChars="200"/>
        <w:rPr>
          <w:rStyle w:val="6"/>
          <w:rFonts w:ascii="Times New Roman" w:hAnsi="Times New Roman" w:cs="Times New Roman"/>
          <w:color w:val="auto"/>
          <w:szCs w:val="21"/>
        </w:rPr>
      </w:pPr>
      <w:r>
        <w:rPr>
          <w:rFonts w:ascii="Times New Roman" w:hAnsi="Times New Roman" w:cs="Times New Roman"/>
          <w:color w:val="auto"/>
          <w:szCs w:val="21"/>
        </w:rPr>
        <w:t>有下列情形之一的，我中心将发布中止或者终止网上交易公告，并中止或者终止网上交易活动：</w:t>
      </w:r>
    </w:p>
    <w:p>
      <w:pPr>
        <w:spacing w:line="360" w:lineRule="exact"/>
        <w:ind w:firstLine="420" w:firstLineChars="200"/>
        <w:rPr>
          <w:rStyle w:val="6"/>
          <w:rFonts w:ascii="Times New Roman" w:hAnsi="Times New Roman" w:cs="Times New Roman"/>
          <w:color w:val="auto"/>
          <w:szCs w:val="21"/>
        </w:rPr>
      </w:pPr>
      <w:r>
        <w:rPr>
          <w:rFonts w:ascii="Times New Roman" w:hAnsi="Times New Roman" w:cs="Times New Roman"/>
          <w:color w:val="auto"/>
          <w:szCs w:val="21"/>
        </w:rPr>
        <w:t>（一）司法机关、监察机关依法要求中止或者终止网上交易活动的；</w:t>
      </w:r>
    </w:p>
    <w:p>
      <w:pPr>
        <w:spacing w:line="360" w:lineRule="exact"/>
        <w:ind w:firstLine="420" w:firstLineChars="200"/>
        <w:rPr>
          <w:rStyle w:val="6"/>
          <w:rFonts w:ascii="Times New Roman" w:hAnsi="Times New Roman" w:cs="Times New Roman"/>
          <w:color w:val="auto"/>
          <w:szCs w:val="21"/>
        </w:rPr>
      </w:pPr>
      <w:r>
        <w:rPr>
          <w:rFonts w:ascii="Times New Roman" w:hAnsi="Times New Roman" w:cs="Times New Roman"/>
          <w:color w:val="auto"/>
          <w:szCs w:val="21"/>
        </w:rPr>
        <w:t>（二）因相关政策、采矿权规划条件等发生变化，对采矿权使用权有重大影响的；</w:t>
      </w:r>
    </w:p>
    <w:p>
      <w:pPr>
        <w:spacing w:line="360" w:lineRule="exact"/>
        <w:ind w:firstLine="420" w:firstLineChars="200"/>
        <w:rPr>
          <w:rStyle w:val="6"/>
          <w:rFonts w:ascii="Times New Roman" w:hAnsi="Times New Roman" w:cs="Times New Roman"/>
          <w:color w:val="auto"/>
          <w:szCs w:val="21"/>
        </w:rPr>
      </w:pPr>
      <w:r>
        <w:rPr>
          <w:rFonts w:ascii="Times New Roman" w:hAnsi="Times New Roman" w:cs="Times New Roman"/>
          <w:color w:val="auto"/>
          <w:szCs w:val="21"/>
        </w:rPr>
        <w:t>（三）网上交易系统软、硬件故障，网上交易系统网络专线故障，网上交易CA认证系统故障，代理银行保证金交纳系统故障以及不可抗力因素等，导致网上交易系统不能正常运行的；</w:t>
      </w:r>
    </w:p>
    <w:p>
      <w:pPr>
        <w:spacing w:line="360" w:lineRule="exact"/>
        <w:ind w:firstLine="420" w:firstLineChars="200"/>
        <w:rPr>
          <w:rStyle w:val="6"/>
          <w:rFonts w:ascii="Times New Roman" w:hAnsi="Times New Roman" w:cs="Times New Roman"/>
          <w:color w:val="auto"/>
          <w:szCs w:val="21"/>
        </w:rPr>
      </w:pPr>
      <w:r>
        <w:rPr>
          <w:rFonts w:ascii="Times New Roman" w:hAnsi="Times New Roman" w:cs="Times New Roman"/>
          <w:color w:val="auto"/>
          <w:szCs w:val="21"/>
        </w:rPr>
        <w:t>（四）因网络入侵等非可控因素，导致网上交易系统不能正常运行的；</w:t>
      </w:r>
    </w:p>
    <w:p>
      <w:pPr>
        <w:spacing w:line="360" w:lineRule="exact"/>
        <w:ind w:firstLine="420" w:firstLineChars="200"/>
        <w:rPr>
          <w:rStyle w:val="6"/>
          <w:rFonts w:ascii="Times New Roman" w:hAnsi="Times New Roman" w:cs="Times New Roman"/>
          <w:color w:val="auto"/>
          <w:szCs w:val="21"/>
        </w:rPr>
      </w:pPr>
      <w:r>
        <w:rPr>
          <w:rFonts w:ascii="Times New Roman" w:hAnsi="Times New Roman" w:cs="Times New Roman"/>
          <w:color w:val="auto"/>
          <w:szCs w:val="21"/>
        </w:rPr>
        <w:t>（五）依法应当中止或者终止网上交易活动的其他情形。</w:t>
      </w:r>
    </w:p>
    <w:p>
      <w:pPr>
        <w:spacing w:line="360" w:lineRule="exact"/>
        <w:ind w:firstLine="420" w:firstLineChars="200"/>
        <w:rPr>
          <w:rFonts w:ascii="Times New Roman" w:hAnsi="Times New Roman" w:cs="Times New Roman"/>
          <w:color w:val="auto"/>
          <w:szCs w:val="21"/>
        </w:rPr>
      </w:pPr>
      <w:r>
        <w:rPr>
          <w:rFonts w:ascii="Times New Roman" w:hAnsi="Times New Roman" w:cs="Times New Roman"/>
          <w:color w:val="auto"/>
          <w:szCs w:val="21"/>
        </w:rPr>
        <w:t>（六）网上交易中止时间超过5日内不能恢复交易的，该项交易自动终止。竞买申请人交纳的竞买保证金全额退还，不计利息。网上交易中止事项消除后，将及时在网上交易系统发布恢复网上交易公告，重新明确交易时间，恢复网上交易。交易中止前已取得竞买资格的，其竞买资格在本次交易期内（含中止交易期及恢复交易后）有效。</w:t>
      </w:r>
    </w:p>
    <w:p>
      <w:pPr>
        <w:spacing w:line="360" w:lineRule="exact"/>
        <w:ind w:firstLine="422" w:firstLineChars="200"/>
        <w:rPr>
          <w:rStyle w:val="6"/>
          <w:rFonts w:ascii="Times New Roman" w:hAnsi="Times New Roman" w:cs="Times New Roman"/>
          <w:color w:val="auto"/>
          <w:szCs w:val="21"/>
        </w:rPr>
      </w:pPr>
      <w:r>
        <w:rPr>
          <w:rStyle w:val="6"/>
          <w:rFonts w:ascii="Times New Roman" w:hAnsi="Times New Roman" w:cs="Times New Roman"/>
          <w:color w:val="auto"/>
          <w:szCs w:val="21"/>
        </w:rPr>
        <w:t>十一、异常交易情况的处置</w:t>
      </w:r>
    </w:p>
    <w:p>
      <w:pPr>
        <w:spacing w:line="360" w:lineRule="exact"/>
        <w:ind w:firstLine="420" w:firstLineChars="200"/>
        <w:rPr>
          <w:rFonts w:ascii="Times New Roman" w:hAnsi="Times New Roman" w:cs="Times New Roman"/>
          <w:color w:val="auto"/>
          <w:szCs w:val="21"/>
        </w:rPr>
      </w:pPr>
      <w:r>
        <w:rPr>
          <w:rFonts w:ascii="Times New Roman" w:hAnsi="Times New Roman" w:cs="Times New Roman"/>
          <w:color w:val="auto"/>
          <w:szCs w:val="21"/>
        </w:rPr>
        <w:t>因网上交易系统出现故障，造成采矿权网上交易出现异常情况的，按照《重庆市国有建设用地使用权和矿业权网上交易应急处置暂行规定》的有关规定进行处置。</w:t>
      </w:r>
    </w:p>
    <w:p>
      <w:pPr>
        <w:spacing w:line="360" w:lineRule="exact"/>
        <w:ind w:firstLine="422" w:firstLineChars="200"/>
        <w:rPr>
          <w:rStyle w:val="6"/>
          <w:rFonts w:ascii="Times New Roman" w:hAnsi="Times New Roman" w:cs="Times New Roman"/>
          <w:color w:val="auto"/>
          <w:szCs w:val="21"/>
        </w:rPr>
      </w:pPr>
      <w:r>
        <w:rPr>
          <w:rStyle w:val="6"/>
          <w:rFonts w:hint="eastAsia" w:ascii="Times New Roman" w:hAnsi="Times New Roman" w:cs="Times New Roman"/>
          <w:color w:val="auto"/>
          <w:szCs w:val="21"/>
        </w:rPr>
        <w:t>十二</w:t>
      </w:r>
      <w:r>
        <w:rPr>
          <w:rStyle w:val="6"/>
          <w:rFonts w:ascii="Times New Roman" w:hAnsi="Times New Roman" w:cs="Times New Roman"/>
          <w:color w:val="auto"/>
          <w:szCs w:val="21"/>
        </w:rPr>
        <w:t>、违约责任</w:t>
      </w:r>
    </w:p>
    <w:p>
      <w:pPr>
        <w:spacing w:line="360" w:lineRule="exact"/>
        <w:ind w:firstLine="420" w:firstLineChars="200"/>
        <w:rPr>
          <w:rStyle w:val="6"/>
          <w:rFonts w:ascii="Times New Roman" w:hAnsi="Times New Roman" w:cs="Times New Roman"/>
          <w:color w:val="auto"/>
          <w:szCs w:val="21"/>
        </w:rPr>
      </w:pPr>
      <w:r>
        <w:rPr>
          <w:rFonts w:ascii="Times New Roman" w:hAnsi="Times New Roman" w:cs="Times New Roman"/>
          <w:color w:val="auto"/>
          <w:szCs w:val="21"/>
        </w:rPr>
        <w:t>（一）在竞买过程中有以下情形的，应承担违约责任，即无条件放弃参与竞买的采矿权已交纳的保证金，如该宗采矿权在以后的公开交易后价格低于本次成交价格，差额部份由违约责任人赔偿，其行为将被列入失信惩戒备忘录。</w:t>
      </w:r>
    </w:p>
    <w:p>
      <w:pPr>
        <w:spacing w:line="360" w:lineRule="exact"/>
        <w:ind w:firstLine="420" w:firstLineChars="200"/>
        <w:rPr>
          <w:rFonts w:ascii="Times New Roman" w:hAnsi="Times New Roman" w:cs="Times New Roman"/>
          <w:color w:val="auto"/>
          <w:szCs w:val="21"/>
        </w:rPr>
      </w:pPr>
      <w:r>
        <w:rPr>
          <w:rFonts w:ascii="Times New Roman" w:hAnsi="Times New Roman" w:cs="Times New Roman"/>
          <w:color w:val="auto"/>
          <w:szCs w:val="21"/>
        </w:rPr>
        <w:t>1</w:t>
      </w:r>
      <w:r>
        <w:rPr>
          <w:rFonts w:hint="eastAsia" w:ascii="Times New Roman" w:hAnsi="Times New Roman" w:cs="Times New Roman"/>
          <w:color w:val="auto"/>
          <w:szCs w:val="21"/>
        </w:rPr>
        <w:t>、</w:t>
      </w:r>
      <w:r>
        <w:rPr>
          <w:rFonts w:ascii="Times New Roman" w:hAnsi="Times New Roman" w:cs="Times New Roman"/>
          <w:color w:val="auto"/>
          <w:szCs w:val="21"/>
        </w:rPr>
        <w:t>竞得人拒签或未按本《采矿权竞买须知》要求在规定的时间内签订《采矿权出让成交确认书》的；</w:t>
      </w:r>
    </w:p>
    <w:p>
      <w:pPr>
        <w:spacing w:line="360" w:lineRule="exact"/>
        <w:ind w:firstLine="420" w:firstLineChars="200"/>
        <w:rPr>
          <w:rFonts w:ascii="Times New Roman" w:hAnsi="Times New Roman" w:cs="Times New Roman"/>
          <w:color w:val="auto"/>
          <w:szCs w:val="21"/>
        </w:rPr>
      </w:pPr>
      <w:r>
        <w:rPr>
          <w:rFonts w:ascii="Times New Roman" w:hAnsi="Times New Roman" w:cs="Times New Roman"/>
          <w:color w:val="auto"/>
          <w:szCs w:val="21"/>
        </w:rPr>
        <w:t>2、竞买申请人违反法律法规，采取弄虚作假或其他不正当手段扰乱正常交易秩序或骗取交易结果的；</w:t>
      </w:r>
    </w:p>
    <w:p>
      <w:pPr>
        <w:spacing w:line="360" w:lineRule="exact"/>
        <w:ind w:firstLine="420" w:firstLineChars="200"/>
        <w:rPr>
          <w:rFonts w:ascii="Times New Roman" w:hAnsi="Times New Roman" w:cs="Times New Roman"/>
          <w:color w:val="auto"/>
          <w:szCs w:val="21"/>
        </w:rPr>
      </w:pPr>
      <w:r>
        <w:rPr>
          <w:rFonts w:ascii="Times New Roman" w:hAnsi="Times New Roman" w:cs="Times New Roman"/>
          <w:color w:val="auto"/>
          <w:szCs w:val="21"/>
        </w:rPr>
        <w:t>3、提供虚假文件或隐瞒事实，骗取竞得资格的；</w:t>
      </w:r>
    </w:p>
    <w:p>
      <w:pPr>
        <w:spacing w:line="360" w:lineRule="exact"/>
        <w:ind w:firstLine="420" w:firstLineChars="200"/>
        <w:rPr>
          <w:rFonts w:ascii="Times New Roman" w:hAnsi="Times New Roman" w:cs="Times New Roman"/>
          <w:color w:val="auto"/>
          <w:szCs w:val="21"/>
        </w:rPr>
      </w:pPr>
      <w:r>
        <w:rPr>
          <w:rFonts w:ascii="Times New Roman" w:hAnsi="Times New Roman" w:cs="Times New Roman"/>
          <w:color w:val="auto"/>
          <w:szCs w:val="21"/>
        </w:rPr>
        <w:t>4、竞买申请人或竞得人有其他违背法律法规、《竞买须知》、《成交确认书》的规定的行为。</w:t>
      </w:r>
    </w:p>
    <w:p>
      <w:pPr>
        <w:spacing w:line="360" w:lineRule="exact"/>
        <w:ind w:firstLine="420" w:firstLineChars="200"/>
        <w:rPr>
          <w:rFonts w:ascii="Times New Roman" w:hAnsi="Times New Roman" w:cs="Times New Roman"/>
          <w:color w:val="auto"/>
          <w:szCs w:val="21"/>
        </w:rPr>
      </w:pPr>
      <w:r>
        <w:rPr>
          <w:rFonts w:ascii="Times New Roman" w:hAnsi="Times New Roman" w:cs="Times New Roman"/>
          <w:color w:val="auto"/>
          <w:szCs w:val="21"/>
        </w:rPr>
        <w:t>5、竞得人未按本《采矿权竞买须知》、《采矿权出让成交确认书》的要求支付采矿权出让收益、其他补偿费用；</w:t>
      </w:r>
    </w:p>
    <w:p>
      <w:pPr>
        <w:spacing w:line="360" w:lineRule="exact"/>
        <w:ind w:firstLine="420" w:firstLineChars="200"/>
        <w:rPr>
          <w:rFonts w:ascii="Times New Roman" w:hAnsi="Times New Roman" w:cs="Times New Roman"/>
          <w:color w:val="auto"/>
          <w:szCs w:val="21"/>
        </w:rPr>
      </w:pPr>
      <w:r>
        <w:rPr>
          <w:rFonts w:ascii="Times New Roman" w:hAnsi="Times New Roman" w:cs="Times New Roman"/>
          <w:color w:val="auto"/>
          <w:szCs w:val="21"/>
        </w:rPr>
        <w:t>6、竞买申请人或竞得人有其他违背法律法规、《竞买须知》、《成交确认书》的规定的行为。</w:t>
      </w:r>
    </w:p>
    <w:p>
      <w:pPr>
        <w:spacing w:line="360" w:lineRule="exact"/>
        <w:ind w:firstLine="420" w:firstLineChars="200"/>
        <w:rPr>
          <w:rFonts w:ascii="Times New Roman" w:hAnsi="Times New Roman" w:cs="Times New Roman"/>
          <w:color w:val="auto"/>
          <w:szCs w:val="21"/>
        </w:rPr>
      </w:pPr>
      <w:r>
        <w:rPr>
          <w:rFonts w:ascii="Times New Roman" w:hAnsi="Times New Roman" w:cs="Times New Roman"/>
          <w:color w:val="auto"/>
          <w:szCs w:val="21"/>
        </w:rPr>
        <w:t>（</w:t>
      </w:r>
      <w:r>
        <w:rPr>
          <w:rFonts w:hint="eastAsia" w:ascii="Times New Roman" w:hAnsi="Times New Roman" w:cs="Times New Roman"/>
          <w:color w:val="auto"/>
          <w:szCs w:val="21"/>
        </w:rPr>
        <w:t>二</w:t>
      </w:r>
      <w:r>
        <w:rPr>
          <w:rFonts w:ascii="Times New Roman" w:hAnsi="Times New Roman" w:cs="Times New Roman"/>
          <w:color w:val="auto"/>
          <w:szCs w:val="21"/>
        </w:rPr>
        <w:t>）竞买申请人或竞得人有充分理由证明其违约是因不可抗力造成的，可部分或全部免除其违约责任。</w:t>
      </w:r>
    </w:p>
    <w:p>
      <w:pPr>
        <w:spacing w:line="360" w:lineRule="exact"/>
        <w:ind w:firstLine="420" w:firstLineChars="200"/>
        <w:rPr>
          <w:rFonts w:ascii="Times New Roman" w:hAnsi="Times New Roman" w:cs="Times New Roman"/>
          <w:color w:val="auto"/>
          <w:szCs w:val="21"/>
        </w:rPr>
      </w:pPr>
      <w:r>
        <w:rPr>
          <w:rFonts w:ascii="Times New Roman" w:hAnsi="Times New Roman" w:cs="Times New Roman"/>
          <w:color w:val="auto"/>
          <w:szCs w:val="21"/>
        </w:rPr>
        <w:t>（</w:t>
      </w:r>
      <w:r>
        <w:rPr>
          <w:rFonts w:hint="eastAsia" w:ascii="Times New Roman" w:hAnsi="Times New Roman" w:cs="Times New Roman"/>
          <w:color w:val="auto"/>
          <w:szCs w:val="21"/>
        </w:rPr>
        <w:t>三</w:t>
      </w:r>
      <w:r>
        <w:rPr>
          <w:rFonts w:ascii="Times New Roman" w:hAnsi="Times New Roman" w:cs="Times New Roman"/>
          <w:color w:val="auto"/>
          <w:szCs w:val="21"/>
        </w:rPr>
        <w:t>）竞得人须按照出让公告、须知要求在取得成交确认书后的15个工作日内，持成交确认书及相关资料向出让方申请签订《重庆市采矿权出让合同》（详见附件）。若逾期未提交签订合同申请的，则视为竞得人自动放弃竞得资格，出让方不予退还保证金并有权另行出让该宗采矿权。申请资料如下：</w:t>
      </w:r>
    </w:p>
    <w:p>
      <w:pPr>
        <w:spacing w:line="360" w:lineRule="exact"/>
        <w:ind w:firstLine="420" w:firstLineChars="200"/>
        <w:rPr>
          <w:rFonts w:ascii="Times New Roman" w:hAnsi="Times New Roman" w:cs="Times New Roman"/>
          <w:color w:val="auto"/>
          <w:szCs w:val="21"/>
        </w:rPr>
      </w:pPr>
      <w:r>
        <w:rPr>
          <w:rFonts w:ascii="Times New Roman" w:hAnsi="Times New Roman" w:cs="Times New Roman"/>
          <w:color w:val="auto"/>
          <w:szCs w:val="21"/>
        </w:rPr>
        <w:t>1、采矿权出让合同签订申请书（原件1份）；</w:t>
      </w:r>
    </w:p>
    <w:p>
      <w:pPr>
        <w:spacing w:line="360" w:lineRule="exact"/>
        <w:ind w:firstLine="420" w:firstLineChars="200"/>
        <w:rPr>
          <w:rFonts w:ascii="Times New Roman" w:hAnsi="Times New Roman" w:cs="Times New Roman"/>
          <w:color w:val="auto"/>
          <w:szCs w:val="21"/>
        </w:rPr>
      </w:pPr>
      <w:r>
        <w:rPr>
          <w:rFonts w:ascii="Times New Roman" w:hAnsi="Times New Roman" w:cs="Times New Roman"/>
          <w:color w:val="auto"/>
          <w:szCs w:val="21"/>
        </w:rPr>
        <w:t>2、采矿权成交确认书（复印件1份）；</w:t>
      </w:r>
    </w:p>
    <w:p>
      <w:pPr>
        <w:spacing w:line="360" w:lineRule="exact"/>
        <w:ind w:firstLine="420" w:firstLineChars="200"/>
        <w:rPr>
          <w:rFonts w:ascii="Times New Roman" w:hAnsi="Times New Roman" w:cs="Times New Roman"/>
          <w:color w:val="auto"/>
          <w:szCs w:val="21"/>
        </w:rPr>
      </w:pPr>
      <w:r>
        <w:rPr>
          <w:rFonts w:ascii="Times New Roman" w:hAnsi="Times New Roman" w:cs="Times New Roman"/>
          <w:color w:val="auto"/>
          <w:szCs w:val="21"/>
        </w:rPr>
        <w:t>3、工商营业执照副本（复印件1份）；</w:t>
      </w:r>
    </w:p>
    <w:p>
      <w:pPr>
        <w:spacing w:line="360" w:lineRule="exact"/>
        <w:ind w:firstLine="420" w:firstLineChars="200"/>
        <w:rPr>
          <w:rFonts w:ascii="Times New Roman" w:hAnsi="Times New Roman" w:cs="Times New Roman"/>
          <w:color w:val="auto"/>
          <w:szCs w:val="21"/>
        </w:rPr>
      </w:pPr>
      <w:r>
        <w:rPr>
          <w:rFonts w:ascii="Times New Roman" w:hAnsi="Times New Roman" w:cs="Times New Roman"/>
          <w:color w:val="auto"/>
          <w:szCs w:val="21"/>
        </w:rPr>
        <w:t>4、法人身份证明（复印件1份）；</w:t>
      </w:r>
    </w:p>
    <w:p>
      <w:pPr>
        <w:spacing w:line="360" w:lineRule="exact"/>
        <w:ind w:firstLine="420" w:firstLineChars="200"/>
        <w:rPr>
          <w:rFonts w:ascii="Times New Roman" w:hAnsi="Times New Roman" w:cs="Times New Roman"/>
          <w:color w:val="auto"/>
          <w:szCs w:val="21"/>
        </w:rPr>
      </w:pPr>
      <w:r>
        <w:rPr>
          <w:rFonts w:ascii="Times New Roman" w:hAnsi="Times New Roman" w:cs="Times New Roman"/>
          <w:color w:val="auto"/>
          <w:szCs w:val="21"/>
        </w:rPr>
        <w:t>5、法人不能亲自办理的应提供《授权委托书》（原件1份）；</w:t>
      </w:r>
    </w:p>
    <w:p>
      <w:pPr>
        <w:spacing w:line="360" w:lineRule="exact"/>
        <w:ind w:firstLine="420" w:firstLineChars="200"/>
        <w:rPr>
          <w:rFonts w:ascii="Times New Roman" w:hAnsi="Times New Roman" w:cs="Times New Roman"/>
          <w:color w:val="auto"/>
          <w:szCs w:val="21"/>
        </w:rPr>
      </w:pPr>
      <w:r>
        <w:rPr>
          <w:rFonts w:ascii="Times New Roman" w:hAnsi="Times New Roman" w:cs="Times New Roman"/>
          <w:color w:val="auto"/>
          <w:szCs w:val="21"/>
        </w:rPr>
        <w:t>6、受托人身份证明（复印件1份）；</w:t>
      </w:r>
    </w:p>
    <w:p>
      <w:pPr>
        <w:spacing w:line="360" w:lineRule="exact"/>
        <w:ind w:firstLine="420" w:firstLineChars="200"/>
        <w:rPr>
          <w:rFonts w:ascii="Times New Roman" w:hAnsi="Times New Roman" w:cs="Times New Roman"/>
          <w:color w:val="auto"/>
          <w:szCs w:val="21"/>
        </w:rPr>
      </w:pPr>
      <w:r>
        <w:rPr>
          <w:rFonts w:ascii="Times New Roman" w:hAnsi="Times New Roman" w:cs="Times New Roman"/>
          <w:color w:val="auto"/>
          <w:szCs w:val="21"/>
        </w:rPr>
        <w:t>7、按照成交结果完善的《重庆市采矿权出让合同》签章件6份（原件）。</w:t>
      </w:r>
    </w:p>
    <w:p>
      <w:pPr>
        <w:spacing w:line="360" w:lineRule="exact"/>
        <w:ind w:firstLine="420" w:firstLineChars="200"/>
        <w:rPr>
          <w:rFonts w:hint="eastAsia" w:ascii="Times New Roman" w:hAnsi="Times New Roman" w:cs="Times New Roman" w:eastAsiaTheme="minorEastAsia"/>
          <w:color w:val="auto"/>
          <w:szCs w:val="21"/>
          <w:lang w:eastAsia="zh-CN"/>
        </w:rPr>
      </w:pPr>
      <w:r>
        <w:rPr>
          <w:rFonts w:hint="eastAsia" w:ascii="Times New Roman" w:hAnsi="Times New Roman" w:cs="Times New Roman"/>
          <w:color w:val="auto"/>
          <w:szCs w:val="21"/>
        </w:rPr>
        <w:t>8、</w:t>
      </w:r>
      <w:r>
        <w:rPr>
          <w:rFonts w:hint="eastAsia" w:ascii="Times New Roman" w:hAnsi="Times New Roman" w:cs="Times New Roman"/>
          <w:iCs/>
          <w:color w:val="auto"/>
          <w:szCs w:val="21"/>
        </w:rPr>
        <w:t>出让人要求提供的其他资料</w:t>
      </w:r>
      <w:r>
        <w:rPr>
          <w:rFonts w:hint="eastAsia" w:ascii="Times New Roman" w:hAnsi="Times New Roman" w:cs="Times New Roman"/>
          <w:iCs/>
          <w:color w:val="auto"/>
          <w:szCs w:val="21"/>
          <w:lang w:eastAsia="zh-CN"/>
        </w:rPr>
        <w:t>。</w:t>
      </w:r>
    </w:p>
    <w:p>
      <w:pPr>
        <w:spacing w:line="360" w:lineRule="exact"/>
        <w:ind w:firstLine="422" w:firstLineChars="200"/>
        <w:rPr>
          <w:rStyle w:val="6"/>
          <w:rFonts w:ascii="Times New Roman" w:hAnsi="Times New Roman" w:cs="Times New Roman"/>
          <w:color w:val="auto"/>
          <w:szCs w:val="21"/>
        </w:rPr>
      </w:pPr>
      <w:r>
        <w:rPr>
          <w:rStyle w:val="6"/>
          <w:color w:val="auto"/>
        </w:rPr>
        <w:t>十</w:t>
      </w:r>
      <w:r>
        <w:rPr>
          <w:rStyle w:val="6"/>
          <w:rFonts w:hint="eastAsia"/>
          <w:color w:val="auto"/>
        </w:rPr>
        <w:t>三</w:t>
      </w:r>
      <w:r>
        <w:rPr>
          <w:rStyle w:val="6"/>
          <w:rFonts w:ascii="Times New Roman" w:hAnsi="Times New Roman" w:cs="Times New Roman"/>
          <w:color w:val="auto"/>
          <w:szCs w:val="21"/>
        </w:rPr>
        <w:t>、注意事项</w:t>
      </w:r>
    </w:p>
    <w:p>
      <w:pPr>
        <w:spacing w:line="360" w:lineRule="exact"/>
        <w:ind w:firstLine="420"/>
        <w:rPr>
          <w:rStyle w:val="6"/>
          <w:rFonts w:ascii="Times New Roman" w:hAnsi="Times New Roman" w:cs="Times New Roman"/>
          <w:color w:val="auto"/>
          <w:szCs w:val="21"/>
        </w:rPr>
      </w:pPr>
      <w:r>
        <w:rPr>
          <w:rFonts w:ascii="Times New Roman" w:hAnsi="Times New Roman" w:cs="Times New Roman"/>
          <w:color w:val="auto"/>
          <w:szCs w:val="21"/>
        </w:rPr>
        <w:t>（一）竞买申请人应全面仔细阅读《采矿权出让竞买须知》</w:t>
      </w:r>
      <w:r>
        <w:rPr>
          <w:rFonts w:hint="eastAsia" w:ascii="Times New Roman" w:hAnsi="Times New Roman" w:cs="Times New Roman"/>
          <w:color w:val="auto"/>
          <w:szCs w:val="21"/>
        </w:rPr>
        <w:t>，</w:t>
      </w:r>
      <w:r>
        <w:rPr>
          <w:rFonts w:ascii="Times New Roman" w:hAnsi="Times New Roman" w:cs="Times New Roman"/>
          <w:color w:val="auto"/>
          <w:szCs w:val="21"/>
        </w:rPr>
        <w:t>了解采矿权详细情况和要求，对矿区范围</w:t>
      </w:r>
      <w:r>
        <w:rPr>
          <w:rFonts w:ascii="Times New Roman" w:hAnsi="Times New Roman" w:cs="Times New Roman"/>
          <w:color w:val="auto"/>
          <w:szCs w:val="21"/>
        </w:rPr>
        <w:t>及周边民房、土地、山林权、交通运输、社群关系等影响因素</w:t>
      </w:r>
      <w:r>
        <w:rPr>
          <w:rFonts w:ascii="Times New Roman" w:hAnsi="Times New Roman" w:cs="Times New Roman"/>
          <w:color w:val="auto"/>
        </w:rPr>
        <w:t>进行必要的现场踏勘；</w:t>
      </w:r>
    </w:p>
    <w:p>
      <w:pPr>
        <w:spacing w:line="360" w:lineRule="exact"/>
        <w:ind w:firstLine="420" w:firstLineChars="200"/>
        <w:rPr>
          <w:rStyle w:val="6"/>
          <w:rFonts w:ascii="Times New Roman" w:hAnsi="Times New Roman" w:cs="Times New Roman"/>
          <w:color w:val="auto"/>
          <w:szCs w:val="21"/>
        </w:rPr>
      </w:pPr>
      <w:r>
        <w:rPr>
          <w:rFonts w:ascii="Times New Roman" w:hAnsi="Times New Roman" w:cs="Times New Roman"/>
          <w:color w:val="auto"/>
          <w:szCs w:val="21"/>
        </w:rPr>
        <w:t>（二）采矿权投资存在有不可预计的风险，包括竞买须知所表述的有关矿产资源情况（矿层厚度、矿石质量、储量等）与实际开采有差距的风险，包括但不限于安全、地质灾害防治、环境保护等要求、对特定采矿方法、选矿方法限制以及国家产业政策或者矿产资源规划调整的影响、不可抗力的影响等风险。竞买申请人参加竞买并提交申请，即视为竞买申请人对采矿权现状和竞买须知已完全认可并自愿承担所有风险；</w:t>
      </w:r>
    </w:p>
    <w:p>
      <w:pPr>
        <w:spacing w:line="360" w:lineRule="exact"/>
        <w:ind w:firstLine="420" w:firstLineChars="200"/>
        <w:rPr>
          <w:rFonts w:ascii="Times New Roman" w:hAnsi="Times New Roman" w:cs="Times New Roman"/>
          <w:b/>
          <w:bCs/>
          <w:color w:val="auto"/>
          <w:szCs w:val="21"/>
        </w:rPr>
      </w:pPr>
      <w:r>
        <w:rPr>
          <w:rFonts w:ascii="Times New Roman" w:hAnsi="Times New Roman" w:cs="Times New Roman"/>
          <w:color w:val="auto"/>
          <w:szCs w:val="21"/>
        </w:rPr>
        <w:t>（三）有关该宗采矿权的用地、用水、用电、公路、环保、基础设施等工作，由竞得人自行负责解决并依法完善相关手续；</w:t>
      </w:r>
    </w:p>
    <w:p>
      <w:pPr>
        <w:spacing w:line="360" w:lineRule="exact"/>
        <w:ind w:firstLine="420" w:firstLineChars="200"/>
        <w:rPr>
          <w:rFonts w:ascii="Times New Roman" w:hAnsi="Times New Roman" w:cs="Times New Roman"/>
          <w:b/>
          <w:bCs/>
          <w:color w:val="auto"/>
          <w:szCs w:val="21"/>
        </w:rPr>
      </w:pPr>
      <w:r>
        <w:rPr>
          <w:rFonts w:ascii="Times New Roman" w:hAnsi="Times New Roman" w:cs="Times New Roman"/>
          <w:color w:val="auto"/>
          <w:szCs w:val="21"/>
        </w:rPr>
        <w:t>（四）若竞得人竞得采矿权后，在办理采矿权登记所需要件时进行安全、环境评价等认定为不适宜开采的，按不成交处理；</w:t>
      </w:r>
    </w:p>
    <w:p>
      <w:pPr>
        <w:spacing w:line="360" w:lineRule="exact"/>
        <w:ind w:firstLine="420" w:firstLineChars="200"/>
        <w:rPr>
          <w:rStyle w:val="6"/>
          <w:rFonts w:ascii="Times New Roman" w:hAnsi="Times New Roman" w:cs="Times New Roman"/>
          <w:color w:val="auto"/>
          <w:szCs w:val="21"/>
        </w:rPr>
      </w:pPr>
      <w:r>
        <w:rPr>
          <w:rFonts w:ascii="Times New Roman" w:hAnsi="Times New Roman" w:cs="Times New Roman"/>
          <w:color w:val="auto"/>
          <w:szCs w:val="21"/>
        </w:rPr>
        <w:t>（五）参加竞买的人员，应遵守竞买的纪律，服从工作人员指挥；</w:t>
      </w:r>
    </w:p>
    <w:p>
      <w:pPr>
        <w:spacing w:line="360" w:lineRule="exact"/>
        <w:ind w:firstLine="420" w:firstLineChars="200"/>
        <w:rPr>
          <w:rStyle w:val="6"/>
          <w:rFonts w:ascii="Times New Roman" w:hAnsi="Times New Roman" w:cs="Times New Roman"/>
          <w:color w:val="auto"/>
          <w:szCs w:val="21"/>
        </w:rPr>
      </w:pPr>
      <w:r>
        <w:rPr>
          <w:rFonts w:ascii="Times New Roman" w:hAnsi="Times New Roman" w:cs="Times New Roman"/>
          <w:color w:val="auto"/>
          <w:szCs w:val="21"/>
        </w:rPr>
        <w:t>（六）网上交易过程所涉及时间均以网上交易系统服务器时间为准，网上交易系统服务器时间以数据信息到达网上交易系统服务器的时间为准。</w:t>
      </w:r>
    </w:p>
    <w:p>
      <w:pPr>
        <w:spacing w:line="360" w:lineRule="exact"/>
        <w:ind w:firstLine="420" w:firstLineChars="200"/>
        <w:rPr>
          <w:rStyle w:val="6"/>
          <w:rFonts w:ascii="Times New Roman" w:hAnsi="Times New Roman" w:cs="Times New Roman"/>
          <w:color w:val="auto"/>
          <w:szCs w:val="21"/>
        </w:rPr>
      </w:pPr>
      <w:r>
        <w:rPr>
          <w:rFonts w:ascii="Times New Roman" w:hAnsi="Times New Roman" w:cs="Times New Roman"/>
          <w:color w:val="auto"/>
          <w:szCs w:val="21"/>
        </w:rPr>
        <w:t>（七）因竞买申请人使用的计算机遭遇网络堵塞、病毒入侵及其软、硬件出现故障和遗失数字证书或遗忘、泄露密码等原因，不能正常登录网上交易系统进行申请、报价、竞价的，后果由竞买申请人自行承担，网上交易活动不中止。</w:t>
      </w:r>
    </w:p>
    <w:p>
      <w:pPr>
        <w:spacing w:line="360" w:lineRule="exact"/>
        <w:ind w:firstLine="420" w:firstLineChars="200"/>
        <w:rPr>
          <w:rStyle w:val="6"/>
          <w:rFonts w:ascii="Times New Roman" w:hAnsi="Times New Roman" w:cs="Times New Roman"/>
          <w:color w:val="auto"/>
          <w:szCs w:val="21"/>
        </w:rPr>
      </w:pPr>
      <w:r>
        <w:rPr>
          <w:rFonts w:ascii="Times New Roman" w:hAnsi="Times New Roman" w:cs="Times New Roman"/>
          <w:color w:val="auto"/>
          <w:szCs w:val="21"/>
        </w:rPr>
        <w:t>（八）竞买申请人因电脑或网络环境等遭遇人为攻击等，导致无法参与正常报价竞价的，可向所在地设区市级以上公安机关报案。</w:t>
      </w:r>
    </w:p>
    <w:p>
      <w:pPr>
        <w:spacing w:line="360" w:lineRule="exact"/>
        <w:ind w:firstLine="420" w:firstLineChars="200"/>
        <w:rPr>
          <w:rStyle w:val="6"/>
          <w:rFonts w:ascii="Times New Roman" w:hAnsi="Times New Roman" w:cs="Times New Roman"/>
          <w:color w:val="auto"/>
          <w:szCs w:val="21"/>
        </w:rPr>
      </w:pPr>
      <w:r>
        <w:rPr>
          <w:rFonts w:ascii="Times New Roman" w:hAnsi="Times New Roman" w:cs="Times New Roman"/>
          <w:color w:val="auto"/>
          <w:szCs w:val="21"/>
        </w:rPr>
        <w:t>（九）系统推荐运行环境。操作系统请使用WinXP、Win7、Win10；浏览器请使用IE8.0、IE9.0、IE10，其它操作系统与浏览器可能会影响您正常参与网上交易活动。</w:t>
      </w:r>
    </w:p>
    <w:p>
      <w:pPr>
        <w:spacing w:line="360" w:lineRule="exact"/>
        <w:ind w:firstLine="420" w:firstLineChars="200"/>
        <w:rPr>
          <w:rStyle w:val="6"/>
          <w:rFonts w:ascii="Times New Roman" w:hAnsi="Times New Roman" w:cs="Times New Roman"/>
          <w:color w:val="auto"/>
          <w:szCs w:val="21"/>
        </w:rPr>
      </w:pPr>
      <w:r>
        <w:rPr>
          <w:rFonts w:ascii="Times New Roman" w:hAnsi="Times New Roman" w:cs="Times New Roman"/>
          <w:color w:val="auto"/>
          <w:szCs w:val="21"/>
        </w:rPr>
        <w:t>数字证书驱动请到重庆市公共资源交易网下载并正确安装。请竞买申请人在竞买前仔细检查好自己电脑的运行环境，并先到网上交易模拟系统练习，以免影响您的报价、竞价。</w:t>
      </w:r>
    </w:p>
    <w:p>
      <w:pPr>
        <w:spacing w:line="360" w:lineRule="exact"/>
        <w:ind w:firstLine="420" w:firstLineChars="200"/>
        <w:rPr>
          <w:rStyle w:val="6"/>
          <w:rFonts w:ascii="Times New Roman" w:hAnsi="Times New Roman" w:cs="Times New Roman"/>
          <w:color w:val="auto"/>
          <w:szCs w:val="21"/>
        </w:rPr>
      </w:pPr>
      <w:r>
        <w:rPr>
          <w:rFonts w:ascii="Times New Roman" w:hAnsi="Times New Roman" w:cs="Times New Roman"/>
          <w:color w:val="auto"/>
          <w:szCs w:val="21"/>
        </w:rPr>
        <w:t>（十）我中心与竞得入选人或竞得人因网上交易产生纠纷的，双方应协商解决，协商不成的，可依法向当地人民政府或自然资源管理部门申请行政复议，或向人民法院提起行政诉讼。</w:t>
      </w:r>
    </w:p>
    <w:p>
      <w:pPr>
        <w:spacing w:line="360" w:lineRule="exact"/>
        <w:ind w:firstLine="420" w:firstLineChars="200"/>
        <w:rPr>
          <w:rFonts w:ascii="Times New Roman" w:hAnsi="Times New Roman" w:eastAsia="宋体" w:cs="Times New Roman"/>
          <w:color w:val="auto"/>
          <w:szCs w:val="21"/>
        </w:rPr>
      </w:pPr>
      <w:r>
        <w:rPr>
          <w:rFonts w:ascii="Times New Roman" w:hAnsi="Times New Roman" w:cs="Times New Roman"/>
          <w:color w:val="auto"/>
          <w:szCs w:val="21"/>
        </w:rPr>
        <w:t>（十一）竞买申请人应做好个人信息和竞买地点等相关信息的保密工作。</w:t>
      </w:r>
    </w:p>
    <w:p>
      <w:pPr>
        <w:spacing w:line="360" w:lineRule="exact"/>
        <w:ind w:firstLine="422" w:firstLineChars="200"/>
        <w:rPr>
          <w:rStyle w:val="6"/>
          <w:rFonts w:ascii="Times New Roman" w:hAnsi="Times New Roman" w:cs="Times New Roman"/>
          <w:color w:val="auto"/>
          <w:szCs w:val="21"/>
        </w:rPr>
      </w:pPr>
      <w:r>
        <w:rPr>
          <w:rStyle w:val="6"/>
          <w:rFonts w:ascii="Times New Roman" w:hAnsi="Times New Roman" w:cs="Times New Roman"/>
          <w:color w:val="auto"/>
          <w:szCs w:val="21"/>
        </w:rPr>
        <w:t>十</w:t>
      </w:r>
      <w:r>
        <w:rPr>
          <w:rStyle w:val="6"/>
          <w:rFonts w:hint="eastAsia" w:ascii="Times New Roman" w:hAnsi="Times New Roman" w:cs="Times New Roman"/>
          <w:color w:val="auto"/>
          <w:szCs w:val="21"/>
        </w:rPr>
        <w:t>四</w:t>
      </w:r>
      <w:r>
        <w:rPr>
          <w:rStyle w:val="6"/>
          <w:rFonts w:ascii="Times New Roman" w:hAnsi="Times New Roman" w:cs="Times New Roman"/>
          <w:color w:val="auto"/>
          <w:szCs w:val="21"/>
        </w:rPr>
        <w:t>、其他重要提示及要求</w:t>
      </w:r>
    </w:p>
    <w:p>
      <w:pPr>
        <w:spacing w:line="360" w:lineRule="exact"/>
        <w:ind w:firstLine="420" w:firstLineChars="200"/>
        <w:rPr>
          <w:rStyle w:val="6"/>
          <w:rFonts w:ascii="Times New Roman" w:hAnsi="Times New Roman" w:cs="Times New Roman"/>
          <w:b w:val="0"/>
          <w:bCs w:val="0"/>
          <w:color w:val="auto"/>
          <w:szCs w:val="21"/>
        </w:rPr>
      </w:pPr>
      <w:r>
        <w:rPr>
          <w:rStyle w:val="6"/>
          <w:rFonts w:hint="eastAsia" w:ascii="Times New Roman" w:hAnsi="Times New Roman" w:cs="Times New Roman"/>
          <w:b w:val="0"/>
          <w:bCs w:val="0"/>
          <w:color w:val="auto"/>
          <w:szCs w:val="21"/>
        </w:rPr>
        <w:t>1、本次出让仅为采矿权，不含土地、山林等其他权利。竞买申请人报名前须自行前往现场，踏勘了解出让范围及周边土地、山权、林权、道路、地下管道、水电供给、废渣占地堆放、地表附着物、工业广场、社群关系等影响资源开采的外部条件。竞买申请人提交竞买申请，即视为对采矿权现状、公告须知、出让文件、采矿权出让合同等内容已完全认可并自愿承担相应的风险。 2、该宗采矿权为已建矿山通过公开出让增划资源。截止2021年3月31日，本宗采矿权出让范围内建筑石料用灰岩矿资源量共计1538.54万吨，其中：原矿区范围内已出让占用的资源量剩余104.59万吨，新增资源量1433.95万吨（扩大区新增资源量1229.6万吨，原矿区范围新增资源量204.35万吨）。 3、该宗采矿权出让以新增资源量为基础，评估单价为3.47元/吨。原矿区范围已出让占用的剩余资源量（104.59万吨）尚属于原采矿权人所有。本次出让活动过程中，原采矿权人未停止开采，请竞买申请人知晓。4、该宗采矿权出让前期相关报告资料，竞买申请人在公示期内主动向出让方申请查阅。5、该宗采矿权有且不限于附着有原采矿权人（重庆巨成集团矿业有限公司）所属的矿山附属设施等资产。竞买申请人在本次出让公示期内应主动向出让方申请查阅《重庆巨成集团矿业有限公司矿山投入的建（构）筑物、机器设备等资产市场价值评估项目资产评估报告》（重庆国能资评报字〔2020〕第019号），提前了解原有采矿权的相关情况，并完成相关固定资产价值确认，在确认无异议的情况下，方能提出竞买申请书。 6、非原采矿权人竞得本宗采矿权时，竞得人应向原采矿权人支付剩余资源费用和固定资产费用。 7、该宗采矿权前期投入费用共计16.98万元，已包含在采矿权出让收益起始价4992.79万元中。 8、在竞得人支付完剩余资源费用和（重庆国能资评报字〔2020〕第019号）评估报告中所确认的固定资产费用后，由出让人组织协调竞得人与原采矿权人移交事宜。9、公告中未尽事宜，由采矿权出让人负责解释。</w:t>
      </w:r>
    </w:p>
    <w:p>
      <w:pPr>
        <w:spacing w:line="360" w:lineRule="exact"/>
        <w:ind w:firstLine="422" w:firstLineChars="200"/>
        <w:rPr>
          <w:rStyle w:val="6"/>
          <w:rFonts w:ascii="Times New Roman" w:hAnsi="Times New Roman" w:cs="Times New Roman"/>
          <w:color w:val="auto"/>
          <w:szCs w:val="21"/>
        </w:rPr>
      </w:pPr>
      <w:r>
        <w:rPr>
          <w:rStyle w:val="6"/>
          <w:rFonts w:ascii="Times New Roman" w:hAnsi="Times New Roman" w:cs="Times New Roman"/>
          <w:color w:val="auto"/>
          <w:szCs w:val="21"/>
        </w:rPr>
        <w:t>十</w:t>
      </w:r>
      <w:r>
        <w:rPr>
          <w:rStyle w:val="6"/>
          <w:rFonts w:hint="eastAsia" w:ascii="Times New Roman" w:hAnsi="Times New Roman" w:cs="Times New Roman"/>
          <w:color w:val="auto"/>
          <w:szCs w:val="21"/>
        </w:rPr>
        <w:t>五</w:t>
      </w:r>
      <w:r>
        <w:rPr>
          <w:rStyle w:val="6"/>
          <w:rFonts w:ascii="Times New Roman" w:hAnsi="Times New Roman" w:cs="Times New Roman"/>
          <w:color w:val="auto"/>
          <w:szCs w:val="21"/>
        </w:rPr>
        <w:t>、提出异议的方式与途径</w:t>
      </w:r>
    </w:p>
    <w:p>
      <w:pPr>
        <w:spacing w:line="360" w:lineRule="exact"/>
        <w:ind w:firstLine="420" w:firstLineChars="200"/>
        <w:rPr>
          <w:rFonts w:ascii="Times New Roman" w:hAnsi="Times New Roman" w:cs="Times New Roman"/>
          <w:color w:val="auto"/>
          <w:sz w:val="24"/>
        </w:rPr>
      </w:pPr>
      <w:r>
        <w:rPr>
          <w:rFonts w:ascii="Times New Roman" w:hAnsi="Times New Roman" w:cs="Times New Roman"/>
          <w:color w:val="auto"/>
          <w:szCs w:val="21"/>
        </w:rPr>
        <w:t>对本次出让的采矿权存有异议的，应在公示期截止前以书面方式向</w:t>
      </w:r>
      <w:r>
        <w:rPr>
          <w:rFonts w:hint="eastAsia" w:ascii="Times New Roman" w:hAnsi="Times New Roman" w:cs="Times New Roman"/>
          <w:color w:val="auto"/>
          <w:szCs w:val="21"/>
        </w:rPr>
        <w:t>重庆市巴南区规划和自然资源局</w:t>
      </w:r>
      <w:r>
        <w:rPr>
          <w:rFonts w:ascii="Times New Roman" w:hAnsi="Times New Roman" w:cs="Times New Roman"/>
          <w:color w:val="auto"/>
          <w:szCs w:val="21"/>
        </w:rPr>
        <w:t>提出；对出让交易程序存有异议的，应在公示期截止前以书面方式向</w:t>
      </w:r>
      <w:r>
        <w:rPr>
          <w:rFonts w:hint="eastAsia" w:ascii="Times New Roman" w:hAnsi="Times New Roman" w:cs="Times New Roman"/>
          <w:color w:val="auto"/>
          <w:szCs w:val="21"/>
        </w:rPr>
        <w:t>重庆市公共资源交易中心</w:t>
      </w:r>
      <w:r>
        <w:rPr>
          <w:rFonts w:ascii="Times New Roman" w:hAnsi="Times New Roman" w:cs="Times New Roman"/>
          <w:color w:val="auto"/>
          <w:szCs w:val="21"/>
        </w:rPr>
        <w:t>提出。</w:t>
      </w:r>
      <w:r>
        <w:rPr>
          <w:rFonts w:ascii="Times New Roman" w:hAnsi="Times New Roman" w:cs="Times New Roman"/>
          <w:color w:val="auto"/>
          <w:kern w:val="0"/>
          <w:sz w:val="24"/>
        </w:rPr>
        <w:t>根据所提异议的具体情况，按照</w:t>
      </w:r>
      <w:r>
        <w:rPr>
          <w:rFonts w:ascii="Times New Roman" w:hAnsi="Times New Roman" w:cs="Times New Roman"/>
          <w:color w:val="auto"/>
          <w:sz w:val="24"/>
        </w:rPr>
        <w:t>《矿业权交易规则》等相关规定进行妥善处置。</w:t>
      </w:r>
    </w:p>
    <w:p>
      <w:pPr>
        <w:spacing w:line="360" w:lineRule="exact"/>
        <w:ind w:firstLine="422" w:firstLineChars="200"/>
        <w:rPr>
          <w:rStyle w:val="6"/>
          <w:rFonts w:ascii="Times New Roman" w:hAnsi="Times New Roman" w:cs="Times New Roman"/>
          <w:color w:val="auto"/>
        </w:rPr>
      </w:pPr>
      <w:r>
        <w:rPr>
          <w:rStyle w:val="6"/>
          <w:rFonts w:ascii="Times New Roman" w:hAnsi="Times New Roman" w:cs="Times New Roman"/>
          <w:color w:val="auto"/>
        </w:rPr>
        <w:t>十六、</w:t>
      </w:r>
      <w:r>
        <w:rPr>
          <w:rFonts w:hint="eastAsia" w:asciiTheme="minorEastAsia" w:hAnsiTheme="minorEastAsia" w:cstheme="minorEastAsia"/>
          <w:b/>
          <w:color w:val="auto"/>
          <w:szCs w:val="21"/>
        </w:rPr>
        <w:t>本须知由重庆市公共资源交易中心负责解释</w:t>
      </w:r>
    </w:p>
    <w:p>
      <w:pPr>
        <w:spacing w:line="360" w:lineRule="exact"/>
        <w:ind w:firstLine="422" w:firstLineChars="200"/>
        <w:rPr>
          <w:rStyle w:val="6"/>
          <w:rFonts w:ascii="Times New Roman" w:hAnsi="Times New Roman" w:cs="Times New Roman"/>
          <w:color w:val="auto"/>
        </w:rPr>
      </w:pPr>
      <w:r>
        <w:rPr>
          <w:rStyle w:val="6"/>
          <w:rFonts w:hint="eastAsia" w:ascii="Times New Roman" w:hAnsi="Times New Roman" w:cs="Times New Roman"/>
          <w:color w:val="auto"/>
        </w:rPr>
        <w:t>十七</w:t>
      </w:r>
      <w:r>
        <w:rPr>
          <w:rStyle w:val="6"/>
          <w:rFonts w:ascii="Times New Roman" w:hAnsi="Times New Roman" w:cs="Times New Roman"/>
          <w:color w:val="auto"/>
        </w:rPr>
        <w:t>、附件</w:t>
      </w:r>
      <w:r>
        <w:rPr>
          <w:rStyle w:val="6"/>
          <w:rFonts w:hint="eastAsia" w:ascii="Times New Roman" w:hAnsi="Times New Roman" w:cs="Times New Roman"/>
          <w:color w:val="auto"/>
        </w:rPr>
        <w:t>资料</w:t>
      </w:r>
    </w:p>
    <w:p>
      <w:pPr>
        <w:spacing w:line="360" w:lineRule="exact"/>
        <w:ind w:firstLine="843" w:firstLineChars="400"/>
        <w:rPr>
          <w:rStyle w:val="6"/>
          <w:rFonts w:ascii="Times New Roman" w:hAnsi="Times New Roman" w:cs="Times New Roman"/>
          <w:color w:val="auto"/>
        </w:rPr>
      </w:pPr>
      <w:r>
        <w:rPr>
          <w:rStyle w:val="6"/>
          <w:rFonts w:hint="eastAsia" w:ascii="Times New Roman" w:hAnsi="Times New Roman" w:cs="Times New Roman"/>
          <w:color w:val="auto"/>
        </w:rPr>
        <w:t>1、《重庆市采矿权出让合同》（模板）</w:t>
      </w:r>
    </w:p>
    <w:p>
      <w:pPr>
        <w:spacing w:line="360" w:lineRule="exact"/>
        <w:ind w:firstLine="843" w:firstLineChars="400"/>
        <w:rPr>
          <w:rStyle w:val="6"/>
          <w:rFonts w:hint="eastAsia" w:ascii="Times New Roman" w:hAnsi="Times New Roman" w:cs="Times New Roman"/>
          <w:color w:val="auto"/>
        </w:rPr>
      </w:pPr>
      <w:r>
        <w:rPr>
          <w:rStyle w:val="6"/>
          <w:rFonts w:hint="eastAsia" w:ascii="Times New Roman" w:hAnsi="Times New Roman" w:cs="Times New Roman"/>
          <w:color w:val="auto"/>
        </w:rPr>
        <w:t>2、《采矿权成交确认书》（模板）</w:t>
      </w:r>
    </w:p>
    <w:p>
      <w:pPr>
        <w:spacing w:line="360" w:lineRule="exact"/>
        <w:ind w:firstLine="840" w:firstLineChars="400"/>
        <w:rPr>
          <w:rFonts w:ascii="Times New Roman" w:hAnsi="Times New Roman" w:cs="Times New Roman"/>
          <w:color w:val="auto"/>
          <w:sz w:val="24"/>
        </w:rPr>
      </w:pPr>
      <w:r>
        <w:rPr>
          <w:rStyle w:val="6"/>
          <w:rFonts w:hint="eastAsia" w:ascii="Times New Roman" w:hAnsi="Times New Roman" w:cs="Times New Roman"/>
          <w:b w:val="0"/>
          <w:iCs/>
          <w:color w:val="auto"/>
          <w:szCs w:val="21"/>
        </w:rPr>
        <w:t xml:space="preserve"> </w:t>
      </w:r>
    </w:p>
    <w:p>
      <w:pPr>
        <w:spacing w:line="360" w:lineRule="exact"/>
        <w:ind w:firstLine="420" w:firstLineChars="200"/>
        <w:jc w:val="right"/>
        <w:rPr>
          <w:rFonts w:ascii="Times New Roman" w:hAnsi="Times New Roman" w:cs="Times New Roman"/>
          <w:color w:val="auto"/>
          <w:szCs w:val="21"/>
        </w:rPr>
      </w:pPr>
      <w:r>
        <w:rPr>
          <w:rFonts w:ascii="Times New Roman" w:hAnsi="Times New Roman" w:cs="Times New Roman"/>
          <w:color w:val="auto"/>
          <w:szCs w:val="21"/>
        </w:rPr>
        <w:t>20</w:t>
      </w:r>
      <w:r>
        <w:rPr>
          <w:rFonts w:hint="eastAsia" w:ascii="Times New Roman" w:hAnsi="Times New Roman" w:cs="Times New Roman"/>
          <w:color w:val="auto"/>
          <w:szCs w:val="21"/>
          <w:lang w:val="en-US" w:eastAsia="zh-CN"/>
        </w:rPr>
        <w:t>21</w:t>
      </w:r>
      <w:r>
        <w:rPr>
          <w:rFonts w:ascii="Times New Roman" w:hAnsi="Times New Roman" w:cs="Times New Roman"/>
          <w:color w:val="auto"/>
          <w:szCs w:val="21"/>
        </w:rPr>
        <w:t>年</w:t>
      </w:r>
      <w:r>
        <w:rPr>
          <w:rFonts w:hint="eastAsia" w:ascii="Times New Roman" w:hAnsi="Times New Roman" w:cs="Times New Roman"/>
          <w:color w:val="auto"/>
          <w:szCs w:val="21"/>
          <w:lang w:val="en-US" w:eastAsia="zh-CN"/>
        </w:rPr>
        <w:t>11</w:t>
      </w:r>
      <w:r>
        <w:rPr>
          <w:rFonts w:ascii="Times New Roman" w:hAnsi="Times New Roman" w:cs="Times New Roman"/>
          <w:color w:val="auto"/>
          <w:szCs w:val="21"/>
        </w:rPr>
        <w:t>月</w:t>
      </w:r>
      <w:r>
        <w:rPr>
          <w:rFonts w:hint="eastAsia" w:ascii="Times New Roman" w:hAnsi="Times New Roman" w:cs="Times New Roman"/>
          <w:color w:val="auto"/>
          <w:szCs w:val="21"/>
          <w:lang w:val="en-US" w:eastAsia="zh-CN"/>
        </w:rPr>
        <w:t>10</w:t>
      </w:r>
      <w:r>
        <w:rPr>
          <w:rFonts w:ascii="Times New Roman" w:hAnsi="Times New Roman" w:cs="Times New Roman"/>
          <w:color w:val="auto"/>
          <w:szCs w:val="21"/>
        </w:rPr>
        <w:t>日</w:t>
      </w:r>
    </w:p>
    <w:sectPr>
      <w:pgSz w:w="11906" w:h="16838"/>
      <w:pgMar w:top="1587" w:right="1474" w:bottom="1587" w:left="147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6619159"/>
    <w:multiLevelType w:val="singleLevel"/>
    <w:tmpl w:val="56619159"/>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28BE2608"/>
    <w:rsid w:val="00141460"/>
    <w:rsid w:val="002317FE"/>
    <w:rsid w:val="002E4F7B"/>
    <w:rsid w:val="002F2432"/>
    <w:rsid w:val="00337E3D"/>
    <w:rsid w:val="00350BA8"/>
    <w:rsid w:val="003665CF"/>
    <w:rsid w:val="00396A72"/>
    <w:rsid w:val="004533B2"/>
    <w:rsid w:val="0046456C"/>
    <w:rsid w:val="00464857"/>
    <w:rsid w:val="004F6A34"/>
    <w:rsid w:val="00501E01"/>
    <w:rsid w:val="005626AF"/>
    <w:rsid w:val="005A2CB8"/>
    <w:rsid w:val="005B5920"/>
    <w:rsid w:val="005B72CE"/>
    <w:rsid w:val="0064247D"/>
    <w:rsid w:val="006721D3"/>
    <w:rsid w:val="0068498A"/>
    <w:rsid w:val="00730E3E"/>
    <w:rsid w:val="00737251"/>
    <w:rsid w:val="00745AAA"/>
    <w:rsid w:val="0075528E"/>
    <w:rsid w:val="007C1E2B"/>
    <w:rsid w:val="007C2430"/>
    <w:rsid w:val="007D5E42"/>
    <w:rsid w:val="00801B11"/>
    <w:rsid w:val="008742C1"/>
    <w:rsid w:val="008E4021"/>
    <w:rsid w:val="00927647"/>
    <w:rsid w:val="00947A5D"/>
    <w:rsid w:val="00965942"/>
    <w:rsid w:val="00A37E24"/>
    <w:rsid w:val="00A6787D"/>
    <w:rsid w:val="00AA158F"/>
    <w:rsid w:val="00AD0380"/>
    <w:rsid w:val="00AF7E7C"/>
    <w:rsid w:val="00B30A03"/>
    <w:rsid w:val="00B57CB5"/>
    <w:rsid w:val="00BA6F84"/>
    <w:rsid w:val="00BE5422"/>
    <w:rsid w:val="00C353A0"/>
    <w:rsid w:val="00CA2664"/>
    <w:rsid w:val="00CB2153"/>
    <w:rsid w:val="00CC3024"/>
    <w:rsid w:val="00CF493F"/>
    <w:rsid w:val="00CF6295"/>
    <w:rsid w:val="00D141E1"/>
    <w:rsid w:val="00D160C6"/>
    <w:rsid w:val="00D17BC5"/>
    <w:rsid w:val="00D34C75"/>
    <w:rsid w:val="00DA1759"/>
    <w:rsid w:val="00DA39D0"/>
    <w:rsid w:val="00E242B2"/>
    <w:rsid w:val="00E27A00"/>
    <w:rsid w:val="00E54FED"/>
    <w:rsid w:val="00ED4EEF"/>
    <w:rsid w:val="00F23D8A"/>
    <w:rsid w:val="00F57630"/>
    <w:rsid w:val="00F869B8"/>
    <w:rsid w:val="00FA649E"/>
    <w:rsid w:val="019069B9"/>
    <w:rsid w:val="09EE70F4"/>
    <w:rsid w:val="0D602B5F"/>
    <w:rsid w:val="0DD854C1"/>
    <w:rsid w:val="15FB06FE"/>
    <w:rsid w:val="197214E6"/>
    <w:rsid w:val="1AE2605B"/>
    <w:rsid w:val="1D4E24DE"/>
    <w:rsid w:val="1E1F5112"/>
    <w:rsid w:val="1EAF02D5"/>
    <w:rsid w:val="1EFC698A"/>
    <w:rsid w:val="217B50F9"/>
    <w:rsid w:val="223C7AFD"/>
    <w:rsid w:val="236F1DF7"/>
    <w:rsid w:val="27F6181F"/>
    <w:rsid w:val="28BE2608"/>
    <w:rsid w:val="2A3C4523"/>
    <w:rsid w:val="2C6060A4"/>
    <w:rsid w:val="2C7A486C"/>
    <w:rsid w:val="2D75164B"/>
    <w:rsid w:val="2DA706EF"/>
    <w:rsid w:val="2FBE3F47"/>
    <w:rsid w:val="34120899"/>
    <w:rsid w:val="392A3D4F"/>
    <w:rsid w:val="3C935C71"/>
    <w:rsid w:val="3CD138B2"/>
    <w:rsid w:val="3D3E498F"/>
    <w:rsid w:val="430D0C37"/>
    <w:rsid w:val="44FC07A0"/>
    <w:rsid w:val="471E4B20"/>
    <w:rsid w:val="49FC5D0C"/>
    <w:rsid w:val="4A9D5239"/>
    <w:rsid w:val="4AB4347B"/>
    <w:rsid w:val="4E4E346E"/>
    <w:rsid w:val="509027CE"/>
    <w:rsid w:val="51D32049"/>
    <w:rsid w:val="53CF18EE"/>
    <w:rsid w:val="5422696B"/>
    <w:rsid w:val="56E14049"/>
    <w:rsid w:val="5F143A90"/>
    <w:rsid w:val="5F772C46"/>
    <w:rsid w:val="614F26DE"/>
    <w:rsid w:val="69D26FF7"/>
    <w:rsid w:val="6A3F64C6"/>
    <w:rsid w:val="6D4C18FF"/>
    <w:rsid w:val="700828BD"/>
    <w:rsid w:val="70D934F9"/>
    <w:rsid w:val="721C1D9C"/>
    <w:rsid w:val="74157922"/>
    <w:rsid w:val="792725CA"/>
    <w:rsid w:val="7E2970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qFormat/>
    <w:uiPriority w:val="0"/>
    <w:pPr>
      <w:tabs>
        <w:tab w:val="center" w:pos="4153"/>
        <w:tab w:val="right" w:pos="8306"/>
      </w:tabs>
      <w:snapToGrid w:val="0"/>
      <w:jc w:val="left"/>
    </w:pPr>
    <w:rPr>
      <w:sz w:val="18"/>
      <w:szCs w:val="18"/>
    </w:rPr>
  </w:style>
  <w:style w:type="paragraph" w:styleId="3">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character" w:styleId="6">
    <w:name w:val="Strong"/>
    <w:qFormat/>
    <w:uiPriority w:val="22"/>
    <w:rPr>
      <w:b/>
      <w:bCs/>
    </w:rPr>
  </w:style>
  <w:style w:type="character" w:styleId="7">
    <w:name w:val="page number"/>
    <w:basedOn w:val="5"/>
    <w:qFormat/>
    <w:uiPriority w:val="0"/>
  </w:style>
  <w:style w:type="character" w:styleId="8">
    <w:name w:val="Hyperlink"/>
    <w:basedOn w:val="5"/>
    <w:qFormat/>
    <w:uiPriority w:val="0"/>
    <w:rPr>
      <w:color w:val="0000FF"/>
      <w:u w:val="single"/>
    </w:rPr>
  </w:style>
  <w:style w:type="character" w:customStyle="1" w:styleId="9">
    <w:name w:val="页脚 字符"/>
    <w:link w:val="2"/>
    <w:qFormat/>
    <w:uiPriority w:val="0"/>
    <w:rPr>
      <w:kern w:val="2"/>
      <w:sz w:val="18"/>
      <w:szCs w:val="18"/>
    </w:rPr>
  </w:style>
  <w:style w:type="character" w:customStyle="1" w:styleId="10">
    <w:name w:val="页眉 字符"/>
    <w:link w:val="3"/>
    <w:qFormat/>
    <w:uiPriority w:val="0"/>
    <w:rPr>
      <w:kern w:val="2"/>
      <w:sz w:val="18"/>
      <w:szCs w:val="18"/>
    </w:rPr>
  </w:style>
  <w:style w:type="table" w:customStyle="1" w:styleId="11">
    <w:name w:val="网格型1"/>
    <w:basedOn w:val="4"/>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1191</Words>
  <Characters>6790</Characters>
  <Lines>56</Lines>
  <Paragraphs>15</Paragraphs>
  <TotalTime>7</TotalTime>
  <ScaleCrop>false</ScaleCrop>
  <LinksUpToDate>false</LinksUpToDate>
  <CharactersWithSpaces>7966</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2020-05-20T06:06:00Z</dcterms:created>
  <dc:creator>lihuan</dc:creator>
  <cp:lastModifiedBy>朱建生</cp:lastModifiedBy>
  <cp:lastPrinted>2021-11-10T02:33:00Z</cp:lastPrinted>
  <dcterms:modified xsi:type="dcterms:W3CDTF">2021-11-10T06:22:10Z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ies>
</file>