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黑体"/>
          <w:sz w:val="40"/>
          <w:szCs w:val="40"/>
        </w:rPr>
      </w:pPr>
      <w:r>
        <w:rPr>
          <w:rFonts w:ascii="Times New Roman" w:hAnsi="Times New Roman" w:eastAsia="黑体"/>
          <w:sz w:val="40"/>
          <w:szCs w:val="40"/>
        </w:rPr>
        <w:t>重庆市采矿权公开出让公告</w:t>
      </w:r>
    </w:p>
    <w:p>
      <w:pPr>
        <w:jc w:val="center"/>
        <w:rPr>
          <w:rFonts w:ascii="Times New Roman" w:hAnsi="Times New Roman" w:eastAsia="方正黑体_GBK"/>
          <w:sz w:val="30"/>
          <w:szCs w:val="30"/>
        </w:rPr>
      </w:pPr>
      <w:r>
        <w:rPr>
          <w:rFonts w:hint="eastAsia" w:ascii="Times New Roman" w:hAnsi="Times New Roman" w:eastAsia="方正黑体_GBK"/>
          <w:sz w:val="30"/>
          <w:szCs w:val="30"/>
        </w:rPr>
        <w:t>渝矿采出字〔2022〕（江津）2号</w:t>
      </w:r>
    </w:p>
    <w:p>
      <w:pPr>
        <w:spacing w:line="360" w:lineRule="exact"/>
        <w:ind w:firstLine="480" w:firstLineChars="200"/>
        <w:rPr>
          <w:rFonts w:asciiTheme="minorEastAsia" w:hAnsiTheme="minorEastAsia"/>
          <w:sz w:val="24"/>
        </w:rPr>
      </w:pPr>
      <w:r>
        <w:rPr>
          <w:rFonts w:asciiTheme="minorEastAsia" w:hAnsiTheme="minorEastAsia"/>
          <w:sz w:val="24"/>
        </w:rPr>
        <w:t>根据</w:t>
      </w:r>
      <w:r>
        <w:rPr>
          <w:rFonts w:hint="eastAsia" w:asciiTheme="minorEastAsia" w:hAnsiTheme="minorEastAsia"/>
          <w:sz w:val="24"/>
        </w:rPr>
        <w:t>国家和重庆市的相关规定</w:t>
      </w:r>
      <w:r>
        <w:rPr>
          <w:rFonts w:asciiTheme="minorEastAsia" w:hAnsiTheme="minorEastAsia"/>
          <w:sz w:val="24"/>
        </w:rPr>
        <w:t>，现对以下采矿权予以公告，公告时间为</w:t>
      </w:r>
      <w:r>
        <w:rPr>
          <w:rFonts w:hint="eastAsia" w:asciiTheme="minorEastAsia" w:hAnsiTheme="minorEastAsia"/>
          <w:sz w:val="24"/>
        </w:rPr>
        <w:t>2022年09月28日09时30分</w:t>
      </w:r>
      <w:r>
        <w:rPr>
          <w:rFonts w:asciiTheme="minorEastAsia" w:hAnsiTheme="minorEastAsia"/>
          <w:sz w:val="24"/>
        </w:rPr>
        <w:t>-</w:t>
      </w:r>
      <w:r>
        <w:rPr>
          <w:rFonts w:hint="eastAsia" w:asciiTheme="minorEastAsia" w:hAnsiTheme="minorEastAsia"/>
          <w:sz w:val="24"/>
        </w:rPr>
        <w:t>2022年10月28日12时</w:t>
      </w:r>
      <w:r>
        <w:rPr>
          <w:rFonts w:asciiTheme="minorEastAsia" w:hAnsiTheme="minorEastAsia"/>
          <w:sz w:val="24"/>
        </w:rPr>
        <w:t>。公告日期内有2家以上（含2家）申报的采取拍卖方式确定受让方，拍卖时间另行通知；公告时间内只有1家单位申报的将采取挂牌出让。本次公开出让的采矿权采用</w:t>
      </w:r>
      <w:r>
        <w:rPr>
          <w:rFonts w:hint="eastAsia" w:asciiTheme="minorEastAsia" w:hAnsiTheme="minorEastAsia"/>
          <w:sz w:val="24"/>
        </w:rPr>
        <w:t>现场交易</w:t>
      </w:r>
      <w:r>
        <w:rPr>
          <w:rFonts w:asciiTheme="minorEastAsia" w:hAnsiTheme="minorEastAsia"/>
          <w:sz w:val="24"/>
        </w:rPr>
        <w:t>，出让详细资料和具体要求，竞买申请人可在公告截止前到</w:t>
      </w:r>
      <w:r>
        <w:rPr>
          <w:rFonts w:hint="eastAsia" w:asciiTheme="minorEastAsia" w:hAnsiTheme="minorEastAsia"/>
          <w:sz w:val="24"/>
        </w:rPr>
        <w:t>重庆市江津区津兴市场管理服务有限公司</w:t>
      </w:r>
      <w:r>
        <w:rPr>
          <w:rFonts w:asciiTheme="minorEastAsia" w:hAnsiTheme="minorEastAsia"/>
          <w:sz w:val="24"/>
        </w:rPr>
        <w:t>索取相关资料并进行报名。地址：</w:t>
      </w:r>
      <w:r>
        <w:rPr>
          <w:rFonts w:hint="eastAsia" w:asciiTheme="minorEastAsia" w:hAnsiTheme="minorEastAsia"/>
          <w:sz w:val="24"/>
        </w:rPr>
        <w:t>重庆市江津区滨江新城团结路与德泽路交叉口滨江商务大厦三楼(万达广场靠盛璟东方斜对面)</w:t>
      </w:r>
      <w:r>
        <w:rPr>
          <w:rFonts w:asciiTheme="minorEastAsia" w:hAnsiTheme="minorEastAsia"/>
          <w:sz w:val="24"/>
        </w:rPr>
        <w:t>，联系电话：</w:t>
      </w:r>
      <w:r>
        <w:rPr>
          <w:rFonts w:hint="eastAsia" w:asciiTheme="minorEastAsia" w:hAnsiTheme="minorEastAsia"/>
          <w:sz w:val="24"/>
        </w:rPr>
        <w:t>13677643641</w:t>
      </w:r>
      <w:r>
        <w:rPr>
          <w:rFonts w:asciiTheme="minorEastAsia" w:hAnsiTheme="minorEastAsia"/>
          <w:sz w:val="24"/>
        </w:rPr>
        <w:t>，联系人：</w:t>
      </w:r>
      <w:r>
        <w:rPr>
          <w:rFonts w:hint="eastAsia" w:asciiTheme="minorEastAsia" w:hAnsiTheme="minorEastAsia"/>
          <w:sz w:val="24"/>
        </w:rPr>
        <w:t>李老师</w:t>
      </w:r>
      <w:r>
        <w:rPr>
          <w:rFonts w:asciiTheme="minorEastAsia" w:hAnsiTheme="minorEastAsia"/>
          <w:sz w:val="24"/>
        </w:rPr>
        <w:t>。</w:t>
      </w:r>
    </w:p>
    <w:p>
      <w:pPr>
        <w:spacing w:line="360" w:lineRule="exact"/>
        <w:ind w:firstLine="480" w:firstLineChars="200"/>
        <w:rPr>
          <w:rFonts w:ascii="Times New Roman" w:hAnsi="Times New Roman"/>
          <w:sz w:val="24"/>
        </w:rPr>
      </w:pPr>
      <w:r>
        <w:rPr>
          <w:rFonts w:asciiTheme="minorEastAsia" w:hAnsiTheme="minorEastAsia"/>
          <w:sz w:val="24"/>
        </w:rPr>
        <w:t>本次公告</w:t>
      </w:r>
      <w:r>
        <w:rPr>
          <w:rFonts w:hint="eastAsia" w:asciiTheme="minorEastAsia" w:hAnsiTheme="minorEastAsia"/>
          <w:sz w:val="24"/>
        </w:rPr>
        <w:t>同步发布的网站：重庆市规划和自然资源局网站：http://ghzrzyj.cq.gov.cn、重庆市江津区津兴市场管理服务有限公司</w:t>
      </w:r>
      <w:r>
        <w:rPr>
          <w:rFonts w:asciiTheme="minorEastAsia" w:hAnsiTheme="minorEastAsia"/>
          <w:sz w:val="24"/>
        </w:rPr>
        <w:t>网站：</w:t>
      </w:r>
      <w:r>
        <w:rPr>
          <w:rFonts w:hint="eastAsia" w:asciiTheme="minorEastAsia" w:hAnsiTheme="minorEastAsia"/>
          <w:sz w:val="24"/>
        </w:rPr>
        <w:t xml:space="preserve">https://www.cqggzy.com/jiangjinweb/ </w:t>
      </w:r>
      <w:r>
        <w:rPr>
          <w:rFonts w:ascii="Times New Roman" w:hAnsi="Times New Roman"/>
          <w:sz w:val="24"/>
        </w:rPr>
        <w:t>。</w:t>
      </w:r>
    </w:p>
    <w:tbl>
      <w:tblPr>
        <w:tblStyle w:val="4"/>
        <w:tblW w:w="142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1037"/>
        <w:gridCol w:w="1510"/>
        <w:gridCol w:w="1103"/>
        <w:gridCol w:w="1080"/>
        <w:gridCol w:w="1490"/>
        <w:gridCol w:w="1146"/>
        <w:gridCol w:w="1343"/>
        <w:gridCol w:w="1140"/>
        <w:gridCol w:w="1486"/>
        <w:gridCol w:w="851"/>
        <w:gridCol w:w="1134"/>
        <w:gridCol w:w="9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016" w:hRule="atLeast"/>
        </w:trPr>
        <w:tc>
          <w:tcPr>
            <w:tcW w:w="1037" w:type="dxa"/>
            <w:vAlign w:val="center"/>
          </w:tcPr>
          <w:p>
            <w:pPr>
              <w:jc w:val="center"/>
              <w:rPr>
                <w:rFonts w:ascii="Times New Roman" w:hAnsi="Times New Roman"/>
                <w:szCs w:val="21"/>
              </w:rPr>
            </w:pPr>
            <w:r>
              <w:rPr>
                <w:rFonts w:ascii="Times New Roman" w:hAnsi="Times New Roman"/>
                <w:szCs w:val="21"/>
              </w:rPr>
              <w:t>序号</w:t>
            </w:r>
          </w:p>
        </w:tc>
        <w:tc>
          <w:tcPr>
            <w:tcW w:w="1510" w:type="dxa"/>
            <w:vAlign w:val="center"/>
          </w:tcPr>
          <w:p>
            <w:pPr>
              <w:jc w:val="center"/>
              <w:rPr>
                <w:rFonts w:ascii="Times New Roman" w:hAnsi="Times New Roman"/>
                <w:szCs w:val="21"/>
              </w:rPr>
            </w:pPr>
            <w:r>
              <w:rPr>
                <w:rFonts w:ascii="Times New Roman" w:hAnsi="Times New Roman"/>
                <w:szCs w:val="21"/>
              </w:rPr>
              <w:t>采矿权名称</w:t>
            </w:r>
          </w:p>
          <w:p>
            <w:pPr>
              <w:jc w:val="center"/>
              <w:rPr>
                <w:rFonts w:ascii="Times New Roman" w:hAnsi="Times New Roman"/>
                <w:szCs w:val="21"/>
              </w:rPr>
            </w:pPr>
            <w:r>
              <w:rPr>
                <w:rFonts w:ascii="Times New Roman" w:hAnsi="Times New Roman"/>
                <w:szCs w:val="21"/>
              </w:rPr>
              <w:t>（暂定名）</w:t>
            </w:r>
          </w:p>
        </w:tc>
        <w:tc>
          <w:tcPr>
            <w:tcW w:w="1103" w:type="dxa"/>
            <w:vAlign w:val="center"/>
          </w:tcPr>
          <w:p>
            <w:pPr>
              <w:jc w:val="center"/>
              <w:rPr>
                <w:rFonts w:ascii="Times New Roman" w:hAnsi="Times New Roman"/>
                <w:szCs w:val="21"/>
              </w:rPr>
            </w:pPr>
            <w:r>
              <w:rPr>
                <w:rFonts w:ascii="Times New Roman" w:hAnsi="Times New Roman"/>
                <w:szCs w:val="21"/>
              </w:rPr>
              <w:t>地理位置</w:t>
            </w:r>
          </w:p>
        </w:tc>
        <w:tc>
          <w:tcPr>
            <w:tcW w:w="1080" w:type="dxa"/>
            <w:vAlign w:val="center"/>
          </w:tcPr>
          <w:p>
            <w:pPr>
              <w:jc w:val="center"/>
              <w:rPr>
                <w:rFonts w:ascii="Times New Roman" w:hAnsi="Times New Roman"/>
                <w:szCs w:val="21"/>
              </w:rPr>
            </w:pPr>
            <w:r>
              <w:rPr>
                <w:rFonts w:ascii="Times New Roman" w:hAnsi="Times New Roman"/>
                <w:szCs w:val="21"/>
              </w:rPr>
              <w:t>矿种</w:t>
            </w:r>
          </w:p>
        </w:tc>
        <w:tc>
          <w:tcPr>
            <w:tcW w:w="1490" w:type="dxa"/>
            <w:vAlign w:val="center"/>
          </w:tcPr>
          <w:p>
            <w:pPr>
              <w:jc w:val="center"/>
              <w:rPr>
                <w:rFonts w:ascii="Times New Roman" w:hAnsi="Times New Roman"/>
                <w:szCs w:val="21"/>
              </w:rPr>
            </w:pPr>
            <w:r>
              <w:rPr>
                <w:rFonts w:ascii="Times New Roman" w:hAnsi="Times New Roman"/>
                <w:szCs w:val="21"/>
              </w:rPr>
              <w:t>矿区范围</w:t>
            </w:r>
          </w:p>
          <w:p>
            <w:pPr>
              <w:jc w:val="center"/>
              <w:rPr>
                <w:rFonts w:ascii="Times New Roman" w:hAnsi="Times New Roman"/>
                <w:szCs w:val="21"/>
              </w:rPr>
            </w:pPr>
            <w:r>
              <w:rPr>
                <w:rFonts w:ascii="Times New Roman" w:hAnsi="Times New Roman"/>
                <w:szCs w:val="21"/>
              </w:rPr>
              <w:t>拐点坐标</w:t>
            </w:r>
          </w:p>
        </w:tc>
        <w:tc>
          <w:tcPr>
            <w:tcW w:w="1146" w:type="dxa"/>
            <w:vAlign w:val="center"/>
          </w:tcPr>
          <w:p>
            <w:pPr>
              <w:jc w:val="center"/>
              <w:rPr>
                <w:rFonts w:ascii="Times New Roman" w:hAnsi="Times New Roman"/>
                <w:szCs w:val="21"/>
              </w:rPr>
            </w:pPr>
            <w:r>
              <w:rPr>
                <w:rFonts w:ascii="Times New Roman" w:hAnsi="Times New Roman"/>
                <w:szCs w:val="21"/>
              </w:rPr>
              <w:t>资源储量</w:t>
            </w:r>
          </w:p>
        </w:tc>
        <w:tc>
          <w:tcPr>
            <w:tcW w:w="1343" w:type="dxa"/>
            <w:vAlign w:val="center"/>
          </w:tcPr>
          <w:p>
            <w:pPr>
              <w:jc w:val="center"/>
              <w:rPr>
                <w:rFonts w:ascii="Times New Roman" w:hAnsi="Times New Roman"/>
                <w:szCs w:val="21"/>
              </w:rPr>
            </w:pPr>
            <w:r>
              <w:rPr>
                <w:rFonts w:ascii="Times New Roman" w:hAnsi="Times New Roman"/>
                <w:szCs w:val="21"/>
              </w:rPr>
              <w:t>矿区面积</w:t>
            </w:r>
          </w:p>
          <w:p>
            <w:pPr>
              <w:jc w:val="center"/>
              <w:rPr>
                <w:rFonts w:ascii="Times New Roman" w:hAnsi="Times New Roman"/>
                <w:szCs w:val="21"/>
              </w:rPr>
            </w:pPr>
            <w:r>
              <w:rPr>
                <w:rFonts w:ascii="Times New Roman" w:hAnsi="Times New Roman"/>
                <w:szCs w:val="21"/>
              </w:rPr>
              <w:t>(平方公里)</w:t>
            </w:r>
          </w:p>
        </w:tc>
        <w:tc>
          <w:tcPr>
            <w:tcW w:w="1140" w:type="dxa"/>
            <w:vAlign w:val="center"/>
          </w:tcPr>
          <w:p>
            <w:pPr>
              <w:jc w:val="center"/>
              <w:rPr>
                <w:rFonts w:ascii="Times New Roman" w:hAnsi="Times New Roman"/>
                <w:szCs w:val="21"/>
              </w:rPr>
            </w:pPr>
            <w:r>
              <w:rPr>
                <w:rFonts w:ascii="Times New Roman" w:hAnsi="Times New Roman"/>
                <w:szCs w:val="21"/>
              </w:rPr>
              <w:t>开采</w:t>
            </w:r>
          </w:p>
          <w:p>
            <w:pPr>
              <w:jc w:val="center"/>
              <w:rPr>
                <w:rFonts w:ascii="Times New Roman" w:hAnsi="Times New Roman"/>
                <w:szCs w:val="21"/>
              </w:rPr>
            </w:pPr>
            <w:r>
              <w:rPr>
                <w:rFonts w:ascii="Times New Roman" w:hAnsi="Times New Roman"/>
                <w:szCs w:val="21"/>
              </w:rPr>
              <w:t>标高</w:t>
            </w:r>
          </w:p>
        </w:tc>
        <w:tc>
          <w:tcPr>
            <w:tcW w:w="1486" w:type="dxa"/>
            <w:vAlign w:val="center"/>
          </w:tcPr>
          <w:p>
            <w:pPr>
              <w:jc w:val="center"/>
              <w:rPr>
                <w:rFonts w:ascii="Times New Roman" w:hAnsi="Times New Roman"/>
                <w:szCs w:val="21"/>
              </w:rPr>
            </w:pPr>
            <w:r>
              <w:rPr>
                <w:rFonts w:ascii="Times New Roman" w:hAnsi="Times New Roman"/>
                <w:szCs w:val="21"/>
              </w:rPr>
              <w:t>生产规模</w:t>
            </w:r>
          </w:p>
        </w:tc>
        <w:tc>
          <w:tcPr>
            <w:tcW w:w="851" w:type="dxa"/>
            <w:vAlign w:val="center"/>
          </w:tcPr>
          <w:p>
            <w:pPr>
              <w:jc w:val="center"/>
              <w:rPr>
                <w:rFonts w:ascii="Times New Roman" w:hAnsi="Times New Roman"/>
                <w:szCs w:val="21"/>
              </w:rPr>
            </w:pPr>
            <w:r>
              <w:rPr>
                <w:rFonts w:ascii="Times New Roman" w:hAnsi="Times New Roman"/>
                <w:szCs w:val="21"/>
              </w:rPr>
              <w:t>出让年限(年)</w:t>
            </w:r>
          </w:p>
        </w:tc>
        <w:tc>
          <w:tcPr>
            <w:tcW w:w="1134" w:type="dxa"/>
            <w:vAlign w:val="center"/>
          </w:tcPr>
          <w:p>
            <w:pPr>
              <w:jc w:val="center"/>
              <w:rPr>
                <w:rFonts w:ascii="Times New Roman" w:hAnsi="Times New Roman"/>
                <w:szCs w:val="21"/>
              </w:rPr>
            </w:pPr>
            <w:r>
              <w:rPr>
                <w:rFonts w:ascii="Times New Roman" w:hAnsi="Times New Roman"/>
                <w:szCs w:val="21"/>
              </w:rPr>
              <w:t>出让收益起始价</w:t>
            </w:r>
          </w:p>
          <w:p>
            <w:pPr>
              <w:jc w:val="center"/>
              <w:rPr>
                <w:rFonts w:ascii="Times New Roman" w:hAnsi="Times New Roman"/>
                <w:szCs w:val="21"/>
              </w:rPr>
            </w:pPr>
            <w:r>
              <w:rPr>
                <w:rFonts w:ascii="Times New Roman" w:hAnsi="Times New Roman"/>
                <w:szCs w:val="21"/>
              </w:rPr>
              <w:t>（万元）</w:t>
            </w:r>
          </w:p>
        </w:tc>
        <w:tc>
          <w:tcPr>
            <w:tcW w:w="916" w:type="dxa"/>
            <w:vAlign w:val="center"/>
          </w:tcPr>
          <w:p>
            <w:pPr>
              <w:jc w:val="center"/>
              <w:rPr>
                <w:rFonts w:ascii="Times New Roman" w:hAnsi="Times New Roman"/>
                <w:szCs w:val="21"/>
              </w:rPr>
            </w:pPr>
            <w:r>
              <w:rPr>
                <w:rFonts w:ascii="Times New Roman" w:hAnsi="Times New Roman"/>
                <w:szCs w:val="21"/>
              </w:rPr>
              <w:t>保证金金额(万元)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8" w:hRule="atLeast"/>
        </w:trPr>
        <w:tc>
          <w:tcPr>
            <w:tcW w:w="1037" w:type="dxa"/>
            <w:vAlign w:val="center"/>
          </w:tcPr>
          <w:p>
            <w:pPr>
              <w:jc w:val="center"/>
              <w:rPr>
                <w:rFonts w:ascii="Times New Roman" w:hAnsi="Times New Roman"/>
                <w:szCs w:val="21"/>
              </w:rPr>
            </w:pPr>
            <w:r>
              <w:rPr>
                <w:rFonts w:ascii="Times New Roman" w:hAnsi="Times New Roman"/>
                <w:szCs w:val="21"/>
              </w:rPr>
              <w:t>JJGC202202</w:t>
            </w:r>
          </w:p>
        </w:tc>
        <w:tc>
          <w:tcPr>
            <w:tcW w:w="1510" w:type="dxa"/>
            <w:vAlign w:val="center"/>
          </w:tcPr>
          <w:p>
            <w:pPr>
              <w:jc w:val="center"/>
              <w:rPr>
                <w:rFonts w:ascii="Times New Roman" w:hAnsi="Times New Roman"/>
                <w:szCs w:val="21"/>
              </w:rPr>
            </w:pPr>
            <w:r>
              <w:rPr>
                <w:rFonts w:hint="eastAsia" w:ascii="Times New Roman" w:hAnsi="Times New Roman"/>
                <w:szCs w:val="21"/>
              </w:rPr>
              <w:t>重庆市江津区两河口矿业有限公司建筑用砂岩矿</w:t>
            </w:r>
          </w:p>
        </w:tc>
        <w:tc>
          <w:tcPr>
            <w:tcW w:w="1103" w:type="dxa"/>
            <w:vAlign w:val="center"/>
          </w:tcPr>
          <w:p>
            <w:pPr>
              <w:jc w:val="center"/>
              <w:rPr>
                <w:rFonts w:ascii="Times New Roman" w:hAnsi="Times New Roman"/>
                <w:szCs w:val="21"/>
              </w:rPr>
            </w:pPr>
            <w:r>
              <w:rPr>
                <w:rFonts w:hint="eastAsia" w:ascii="Times New Roman" w:hAnsi="Times New Roman"/>
                <w:szCs w:val="21"/>
              </w:rPr>
              <w:t>江津区蔡家镇新开村石码子社</w:t>
            </w:r>
          </w:p>
        </w:tc>
        <w:tc>
          <w:tcPr>
            <w:tcW w:w="1080" w:type="dxa"/>
            <w:vAlign w:val="center"/>
          </w:tcPr>
          <w:p>
            <w:pPr>
              <w:jc w:val="center"/>
              <w:rPr>
                <w:rFonts w:ascii="Times New Roman" w:hAnsi="Times New Roman"/>
                <w:szCs w:val="21"/>
              </w:rPr>
            </w:pPr>
            <w:r>
              <w:rPr>
                <w:rFonts w:hint="eastAsia" w:ascii="Times New Roman" w:hAnsi="Times New Roman"/>
                <w:szCs w:val="21"/>
              </w:rPr>
              <w:t>建筑用砂岩</w:t>
            </w:r>
          </w:p>
        </w:tc>
        <w:tc>
          <w:tcPr>
            <w:tcW w:w="1490" w:type="dxa"/>
            <w:vAlign w:val="center"/>
          </w:tcPr>
          <w:p>
            <w:pPr>
              <w:jc w:val="center"/>
              <w:rPr>
                <w:rFonts w:ascii="Times New Roman" w:hAnsi="Times New Roman"/>
                <w:szCs w:val="21"/>
              </w:rPr>
            </w:pPr>
            <w:r>
              <w:rPr>
                <w:rFonts w:ascii="Times New Roman" w:hAnsi="Times New Roman"/>
                <w:szCs w:val="21"/>
              </w:rPr>
              <w:t>详见《竞买须知》</w:t>
            </w:r>
          </w:p>
        </w:tc>
        <w:tc>
          <w:tcPr>
            <w:tcW w:w="1146" w:type="dxa"/>
            <w:vAlign w:val="center"/>
          </w:tcPr>
          <w:p>
            <w:pPr>
              <w:jc w:val="center"/>
              <w:rPr>
                <w:rFonts w:ascii="Times New Roman" w:hAnsi="Times New Roman"/>
                <w:szCs w:val="21"/>
              </w:rPr>
            </w:pPr>
            <w:r>
              <w:rPr>
                <w:rFonts w:hint="eastAsia" w:ascii="Times New Roman" w:hAnsi="Times New Roman"/>
                <w:szCs w:val="21"/>
              </w:rPr>
              <w:t>1156.27万吨</w:t>
            </w:r>
          </w:p>
        </w:tc>
        <w:tc>
          <w:tcPr>
            <w:tcW w:w="1343" w:type="dxa"/>
            <w:vAlign w:val="center"/>
          </w:tcPr>
          <w:p>
            <w:pPr>
              <w:jc w:val="center"/>
              <w:rPr>
                <w:rFonts w:ascii="Times New Roman" w:hAnsi="Times New Roman"/>
                <w:szCs w:val="21"/>
              </w:rPr>
            </w:pPr>
            <w:r>
              <w:rPr>
                <w:rFonts w:hint="eastAsia" w:ascii="Times New Roman" w:hAnsi="Times New Roman"/>
                <w:szCs w:val="21"/>
              </w:rPr>
              <w:t>0.0777</w:t>
            </w:r>
          </w:p>
        </w:tc>
        <w:tc>
          <w:tcPr>
            <w:tcW w:w="1140" w:type="dxa"/>
            <w:vAlign w:val="center"/>
          </w:tcPr>
          <w:p>
            <w:pPr>
              <w:jc w:val="center"/>
              <w:rPr>
                <w:rFonts w:ascii="Times New Roman" w:hAnsi="Times New Roman"/>
              </w:rPr>
            </w:pPr>
            <w:r>
              <w:rPr>
                <w:rFonts w:hint="eastAsia" w:ascii="Times New Roman" w:hAnsi="Times New Roman"/>
              </w:rPr>
              <w:t>+470米至</w:t>
            </w:r>
            <w:r>
              <w:rPr>
                <w:rFonts w:hint="eastAsia" w:ascii="Times New Roman" w:hAnsi="Times New Roman"/>
                <w:szCs w:val="21"/>
              </w:rPr>
              <w:t>+348</w:t>
            </w:r>
            <w:r>
              <w:rPr>
                <w:rFonts w:hint="eastAsia" w:ascii="Times New Roman" w:hAnsi="Times New Roman"/>
              </w:rPr>
              <w:t>米</w:t>
            </w:r>
          </w:p>
        </w:tc>
        <w:tc>
          <w:tcPr>
            <w:tcW w:w="1486" w:type="dxa"/>
            <w:vAlign w:val="center"/>
          </w:tcPr>
          <w:p>
            <w:pPr>
              <w:jc w:val="center"/>
              <w:rPr>
                <w:rFonts w:ascii="Times New Roman" w:hAnsi="Times New Roman"/>
                <w:szCs w:val="21"/>
              </w:rPr>
            </w:pPr>
            <w:r>
              <w:rPr>
                <w:rFonts w:hint="eastAsia" w:ascii="Times New Roman" w:hAnsi="Times New Roman"/>
                <w:szCs w:val="21"/>
              </w:rPr>
              <w:t>55万吨/年</w:t>
            </w:r>
          </w:p>
        </w:tc>
        <w:tc>
          <w:tcPr>
            <w:tcW w:w="851" w:type="dxa"/>
            <w:vAlign w:val="center"/>
          </w:tcPr>
          <w:p>
            <w:pPr>
              <w:jc w:val="center"/>
              <w:rPr>
                <w:rFonts w:ascii="Times New Roman" w:hAnsi="Times New Roman"/>
                <w:szCs w:val="21"/>
              </w:rPr>
            </w:pPr>
            <w:r>
              <w:rPr>
                <w:rFonts w:hint="eastAsia" w:ascii="Times New Roman" w:hAnsi="Times New Roman"/>
                <w:szCs w:val="21"/>
              </w:rPr>
              <w:t>12.62</w:t>
            </w:r>
          </w:p>
        </w:tc>
        <w:tc>
          <w:tcPr>
            <w:tcW w:w="1134" w:type="dxa"/>
            <w:vAlign w:val="center"/>
          </w:tcPr>
          <w:p>
            <w:pPr>
              <w:jc w:val="center"/>
              <w:rPr>
                <w:rFonts w:ascii="Times New Roman" w:hAnsi="Times New Roman"/>
                <w:szCs w:val="21"/>
              </w:rPr>
            </w:pPr>
            <w:r>
              <w:rPr>
                <w:rFonts w:hint="eastAsia" w:ascii="Times New Roman" w:hAnsi="Times New Roman"/>
                <w:szCs w:val="21"/>
              </w:rPr>
              <w:t>3040.99</w:t>
            </w:r>
          </w:p>
        </w:tc>
        <w:tc>
          <w:tcPr>
            <w:tcW w:w="916" w:type="dxa"/>
            <w:vAlign w:val="center"/>
          </w:tcPr>
          <w:p>
            <w:pPr>
              <w:jc w:val="center"/>
              <w:rPr>
                <w:rFonts w:ascii="Times New Roman" w:hAnsi="Times New Roman"/>
                <w:szCs w:val="21"/>
              </w:rPr>
            </w:pPr>
            <w:r>
              <w:rPr>
                <w:rFonts w:hint="eastAsia" w:ascii="Times New Roman" w:hAnsi="Times New Roman"/>
                <w:szCs w:val="21"/>
              </w:rPr>
              <w:t>768</w:t>
            </w:r>
          </w:p>
        </w:tc>
      </w:tr>
    </w:tbl>
    <w:p>
      <w:pPr>
        <w:spacing w:before="156" w:beforeLines="50" w:line="360" w:lineRule="exact"/>
        <w:rPr>
          <w:rFonts w:asciiTheme="minorEastAsia" w:hAnsiTheme="minorEastAsia"/>
          <w:sz w:val="24"/>
          <w:szCs w:val="24"/>
        </w:rPr>
      </w:pPr>
      <w:r>
        <w:rPr>
          <w:rFonts w:asciiTheme="minorEastAsia" w:hAnsiTheme="minorEastAsia"/>
          <w:sz w:val="24"/>
          <w:szCs w:val="24"/>
        </w:rPr>
        <w:t>备注：</w:t>
      </w:r>
    </w:p>
    <w:p>
      <w:pPr>
        <w:spacing w:line="360" w:lineRule="exact"/>
        <w:ind w:firstLine="480"/>
        <w:rPr>
          <w:rFonts w:asciiTheme="minorEastAsia" w:hAnsiTheme="minorEastAsia"/>
          <w:sz w:val="24"/>
          <w:szCs w:val="24"/>
        </w:rPr>
      </w:pPr>
      <w:r>
        <w:rPr>
          <w:rFonts w:asciiTheme="minorEastAsia" w:hAnsiTheme="minorEastAsia"/>
          <w:sz w:val="24"/>
          <w:szCs w:val="24"/>
        </w:rPr>
        <w:t>一、序号</w:t>
      </w:r>
      <w:r>
        <w:rPr>
          <w:rFonts w:hint="eastAsia" w:asciiTheme="minorEastAsia" w:hAnsiTheme="minorEastAsia"/>
          <w:sz w:val="24"/>
          <w:szCs w:val="24"/>
        </w:rPr>
        <w:t>JJGC202202</w:t>
      </w:r>
      <w:r>
        <w:rPr>
          <w:rFonts w:asciiTheme="minorEastAsia" w:hAnsiTheme="minorEastAsia"/>
          <w:sz w:val="24"/>
          <w:szCs w:val="24"/>
        </w:rPr>
        <w:t xml:space="preserve"> 采矿权出让人：</w:t>
      </w:r>
      <w:r>
        <w:rPr>
          <w:rFonts w:hint="eastAsia" w:asciiTheme="minorEastAsia" w:hAnsiTheme="minorEastAsia"/>
          <w:sz w:val="24"/>
          <w:szCs w:val="24"/>
        </w:rPr>
        <w:t>重庆市江津区规划和自然资源局</w:t>
      </w:r>
      <w:r>
        <w:rPr>
          <w:rFonts w:asciiTheme="minorEastAsia" w:hAnsiTheme="minorEastAsia"/>
          <w:sz w:val="24"/>
          <w:szCs w:val="24"/>
        </w:rPr>
        <w:t>，地址：</w:t>
      </w:r>
      <w:r>
        <w:rPr>
          <w:rFonts w:hint="eastAsia" w:cs="宋体" w:asciiTheme="minorEastAsia" w:hAnsiTheme="minorEastAsia"/>
          <w:sz w:val="24"/>
          <w:szCs w:val="24"/>
        </w:rPr>
        <w:t>重庆市江津区鼎山街道办事处元帅大道36号</w:t>
      </w:r>
      <w:r>
        <w:rPr>
          <w:rFonts w:asciiTheme="minorEastAsia" w:hAnsiTheme="minorEastAsia"/>
          <w:sz w:val="24"/>
          <w:szCs w:val="24"/>
        </w:rPr>
        <w:t>，联系人：</w:t>
      </w:r>
      <w:r>
        <w:rPr>
          <w:rFonts w:hint="eastAsia" w:cs="宋体" w:asciiTheme="minorEastAsia" w:hAnsiTheme="minorEastAsia"/>
          <w:sz w:val="24"/>
          <w:szCs w:val="24"/>
        </w:rPr>
        <w:t>徐老师</w:t>
      </w:r>
      <w:r>
        <w:rPr>
          <w:rFonts w:asciiTheme="minorEastAsia" w:hAnsiTheme="minorEastAsia"/>
          <w:sz w:val="24"/>
          <w:szCs w:val="24"/>
        </w:rPr>
        <w:t>，联系电话：</w:t>
      </w:r>
      <w:r>
        <w:rPr>
          <w:rFonts w:hint="eastAsia" w:asciiTheme="minorEastAsia" w:hAnsiTheme="minorEastAsia"/>
          <w:sz w:val="24"/>
          <w:szCs w:val="24"/>
        </w:rPr>
        <w:t>47696219</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二、保证金户名：</w:t>
      </w:r>
      <w:r>
        <w:rPr>
          <w:rFonts w:hint="eastAsia" w:asciiTheme="minorEastAsia" w:hAnsiTheme="minorEastAsia"/>
          <w:sz w:val="24"/>
          <w:szCs w:val="24"/>
        </w:rPr>
        <w:t>重庆市江津区津兴市场管理服务有限公司</w:t>
      </w:r>
      <w:r>
        <w:rPr>
          <w:rFonts w:asciiTheme="minorEastAsia" w:hAnsiTheme="minorEastAsia"/>
          <w:sz w:val="24"/>
          <w:szCs w:val="24"/>
        </w:rPr>
        <w:t xml:space="preserve">        开户行：</w:t>
      </w:r>
      <w:r>
        <w:rPr>
          <w:rFonts w:hint="eastAsia" w:asciiTheme="minorEastAsia" w:hAnsiTheme="minorEastAsia"/>
          <w:sz w:val="24"/>
          <w:szCs w:val="24"/>
        </w:rPr>
        <w:t>中国工商银行股份有限公司重庆几江支行</w:t>
      </w:r>
      <w:r>
        <w:rPr>
          <w:rFonts w:asciiTheme="minorEastAsia" w:hAnsiTheme="minorEastAsia"/>
          <w:sz w:val="24"/>
          <w:szCs w:val="24"/>
        </w:rPr>
        <w:t xml:space="preserve"> </w:t>
      </w:r>
      <w:r>
        <w:rPr>
          <w:rFonts w:hint="eastAsia" w:asciiTheme="minorEastAsia" w:hAnsiTheme="minorEastAsia"/>
          <w:sz w:val="24"/>
          <w:szCs w:val="24"/>
        </w:rPr>
        <w:t>账</w:t>
      </w:r>
      <w:r>
        <w:rPr>
          <w:rFonts w:asciiTheme="minorEastAsia" w:hAnsiTheme="minorEastAsia"/>
          <w:sz w:val="24"/>
          <w:szCs w:val="24"/>
        </w:rPr>
        <w:t>号：</w:t>
      </w:r>
      <w:r>
        <w:rPr>
          <w:rFonts w:hint="eastAsia" w:asciiTheme="minorEastAsia" w:hAnsiTheme="minorEastAsia"/>
          <w:sz w:val="24"/>
          <w:szCs w:val="24"/>
        </w:rPr>
        <w:t>3100092029200263476</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保证金户名：</w:t>
      </w:r>
      <w:r>
        <w:rPr>
          <w:rFonts w:hint="eastAsia" w:asciiTheme="minorEastAsia" w:hAnsiTheme="minorEastAsia"/>
          <w:sz w:val="24"/>
          <w:szCs w:val="24"/>
        </w:rPr>
        <w:t>重庆市江津区津兴市场管理服务有限公司</w:t>
      </w:r>
      <w:r>
        <w:rPr>
          <w:rFonts w:asciiTheme="minorEastAsia" w:hAnsiTheme="minorEastAsia"/>
          <w:sz w:val="24"/>
          <w:szCs w:val="24"/>
        </w:rPr>
        <w:t xml:space="preserve">        开户行：</w:t>
      </w:r>
      <w:r>
        <w:rPr>
          <w:rFonts w:hint="eastAsia" w:asciiTheme="minorEastAsia" w:hAnsiTheme="minorEastAsia"/>
          <w:sz w:val="24"/>
          <w:szCs w:val="24"/>
        </w:rPr>
        <w:t>中国农业银行股份有限公司重庆江津支行</w:t>
      </w:r>
      <w:r>
        <w:rPr>
          <w:rFonts w:asciiTheme="minorEastAsia" w:hAnsiTheme="minorEastAsia"/>
          <w:sz w:val="24"/>
          <w:szCs w:val="24"/>
        </w:rPr>
        <w:t xml:space="preserve"> </w:t>
      </w:r>
      <w:r>
        <w:rPr>
          <w:rFonts w:hint="eastAsia" w:asciiTheme="minorEastAsia" w:hAnsiTheme="minorEastAsia"/>
          <w:sz w:val="24"/>
          <w:szCs w:val="24"/>
        </w:rPr>
        <w:t>账</w:t>
      </w:r>
      <w:r>
        <w:rPr>
          <w:rFonts w:asciiTheme="minorEastAsia" w:hAnsiTheme="minorEastAsia"/>
          <w:sz w:val="24"/>
          <w:szCs w:val="24"/>
        </w:rPr>
        <w:t>号：</w:t>
      </w:r>
      <w:r>
        <w:rPr>
          <w:rFonts w:hint="eastAsia" w:asciiTheme="minorEastAsia" w:hAnsiTheme="minorEastAsia"/>
          <w:sz w:val="24"/>
          <w:szCs w:val="24"/>
        </w:rPr>
        <w:t>31140101040018712</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保证金户名：</w:t>
      </w:r>
      <w:r>
        <w:rPr>
          <w:rFonts w:hint="eastAsia" w:asciiTheme="minorEastAsia" w:hAnsiTheme="minorEastAsia"/>
          <w:sz w:val="24"/>
          <w:szCs w:val="24"/>
        </w:rPr>
        <w:t>重庆市江津区津兴市场管理服务有限公司</w:t>
      </w:r>
      <w:r>
        <w:rPr>
          <w:rFonts w:asciiTheme="minorEastAsia" w:hAnsiTheme="minorEastAsia"/>
          <w:sz w:val="24"/>
          <w:szCs w:val="24"/>
        </w:rPr>
        <w:t xml:space="preserve">        开户行：</w:t>
      </w:r>
      <w:r>
        <w:rPr>
          <w:rFonts w:hint="eastAsia" w:asciiTheme="minorEastAsia" w:hAnsiTheme="minorEastAsia"/>
          <w:sz w:val="24"/>
          <w:szCs w:val="24"/>
        </w:rPr>
        <w:t>中国银行股份有限公司重庆江津支行</w:t>
      </w:r>
      <w:r>
        <w:rPr>
          <w:rFonts w:asciiTheme="minorEastAsia" w:hAnsiTheme="minorEastAsia"/>
          <w:sz w:val="24"/>
          <w:szCs w:val="24"/>
        </w:rPr>
        <w:t xml:space="preserve"> </w:t>
      </w:r>
      <w:r>
        <w:rPr>
          <w:rFonts w:hint="eastAsia" w:asciiTheme="minorEastAsia" w:hAnsiTheme="minorEastAsia"/>
          <w:sz w:val="24"/>
          <w:szCs w:val="24"/>
        </w:rPr>
        <w:t>账</w:t>
      </w:r>
      <w:r>
        <w:rPr>
          <w:rFonts w:asciiTheme="minorEastAsia" w:hAnsiTheme="minorEastAsia"/>
          <w:sz w:val="24"/>
          <w:szCs w:val="24"/>
        </w:rPr>
        <w:t>号：</w:t>
      </w:r>
      <w:r>
        <w:rPr>
          <w:rFonts w:hint="eastAsia" w:asciiTheme="minorEastAsia" w:hAnsiTheme="minorEastAsia"/>
          <w:sz w:val="24"/>
          <w:szCs w:val="24"/>
        </w:rPr>
        <w:t>110270553521</w:t>
      </w:r>
      <w:r>
        <w:rPr>
          <w:rFonts w:asciiTheme="minorEastAsia" w:hAnsiTheme="minorEastAsia"/>
          <w:sz w:val="24"/>
          <w:szCs w:val="24"/>
        </w:rPr>
        <w:t>。</w:t>
      </w:r>
    </w:p>
    <w:p>
      <w:pPr>
        <w:spacing w:line="360" w:lineRule="exact"/>
        <w:ind w:right="718" w:rightChars="342" w:firstLine="403" w:firstLineChars="168"/>
        <w:rPr>
          <w:rFonts w:asciiTheme="minorEastAsia" w:hAnsiTheme="minorEastAsia"/>
          <w:sz w:val="24"/>
        </w:rPr>
      </w:pPr>
      <w:r>
        <w:rPr>
          <w:rFonts w:asciiTheme="minorEastAsia" w:hAnsiTheme="minorEastAsia"/>
          <w:sz w:val="24"/>
        </w:rPr>
        <w:t>竞买保证金到账截止时间为：</w:t>
      </w:r>
      <w:r>
        <w:rPr>
          <w:rFonts w:hint="eastAsia" w:asciiTheme="minorEastAsia" w:hAnsiTheme="minorEastAsia"/>
          <w:sz w:val="24"/>
        </w:rPr>
        <w:t>2022年10月28日12时</w:t>
      </w:r>
      <w:r>
        <w:rPr>
          <w:rFonts w:asciiTheme="minorEastAsia" w:hAnsiTheme="minorEastAsia"/>
          <w:sz w:val="24"/>
        </w:rPr>
        <w:t>。</w:t>
      </w:r>
      <w:r>
        <w:rPr>
          <w:rFonts w:hint="eastAsia" w:asciiTheme="minorEastAsia" w:hAnsiTheme="minorEastAsia"/>
          <w:sz w:val="24"/>
        </w:rPr>
        <w:t>如成功竞得，已缴纳的保证金可抵作采矿权出让收益，在出让合同签订后由竞得人向矿产资源所在地的税务部门申报，竞买保证金账户管理单位在规定期限内代竞得人向税务部门缴纳相关费款；如未竞得，可在成交日之后1个工作日内在竞买保证金账户管理单位办理退还手续，不计利息。</w:t>
      </w:r>
    </w:p>
    <w:p>
      <w:pPr>
        <w:spacing w:line="360" w:lineRule="exact"/>
        <w:ind w:firstLine="480" w:firstLineChars="200"/>
        <w:rPr>
          <w:rFonts w:ascii="Times New Roman" w:hAnsi="Times New Roman" w:eastAsia="宋体"/>
          <w:sz w:val="24"/>
        </w:rPr>
      </w:pPr>
      <w:r>
        <w:rPr>
          <w:rFonts w:hint="eastAsia" w:ascii="Times New Roman" w:hAnsi="Times New Roman"/>
          <w:sz w:val="24"/>
        </w:rPr>
        <w:t>三</w:t>
      </w:r>
      <w:r>
        <w:rPr>
          <w:rFonts w:ascii="Times New Roman" w:hAnsi="Times New Roman"/>
          <w:sz w:val="24"/>
        </w:rPr>
        <w:t>、采矿权出让收益缴纳方式</w:t>
      </w:r>
      <w:r>
        <w:rPr>
          <w:rFonts w:ascii="Times New Roman" w:hAnsi="Times New Roman" w:cs="Times New Roman"/>
          <w:sz w:val="24"/>
        </w:rPr>
        <w:t>详见《竞买须知》</w:t>
      </w:r>
      <w:r>
        <w:rPr>
          <w:rFonts w:hint="eastAsia" w:ascii="Times New Roman" w:hAnsi="Times New Roman" w:cs="Times New Roman"/>
          <w:sz w:val="24"/>
        </w:rPr>
        <w:t>。</w:t>
      </w:r>
    </w:p>
    <w:p>
      <w:pPr>
        <w:spacing w:line="360" w:lineRule="exact"/>
        <w:ind w:firstLine="480" w:firstLineChars="200"/>
        <w:rPr>
          <w:rFonts w:ascii="Times New Roman" w:hAnsi="Times New Roman"/>
          <w:sz w:val="24"/>
        </w:rPr>
      </w:pPr>
      <w:r>
        <w:rPr>
          <w:rFonts w:hint="eastAsia" w:ascii="Times New Roman" w:hAnsi="Times New Roman"/>
          <w:sz w:val="24"/>
        </w:rPr>
        <w:t>四</w:t>
      </w:r>
      <w:r>
        <w:rPr>
          <w:rFonts w:ascii="Times New Roman" w:hAnsi="Times New Roman"/>
          <w:sz w:val="24"/>
        </w:rPr>
        <w:t>、采矿权竞买申请人资格要求：</w:t>
      </w:r>
    </w:p>
    <w:p>
      <w:pPr>
        <w:spacing w:line="360" w:lineRule="exact"/>
        <w:ind w:firstLine="480" w:firstLineChars="200"/>
        <w:rPr>
          <w:rFonts w:ascii="Times New Roman" w:hAnsi="Times New Roman"/>
          <w:sz w:val="24"/>
        </w:rPr>
      </w:pPr>
      <w:r>
        <w:rPr>
          <w:rFonts w:ascii="Times New Roman" w:hAnsi="Times New Roman"/>
          <w:sz w:val="24"/>
        </w:rPr>
        <w:t>（一）竞买申请人须为营利法人；</w:t>
      </w:r>
    </w:p>
    <w:p>
      <w:pPr>
        <w:spacing w:line="360" w:lineRule="exact"/>
        <w:ind w:firstLine="480" w:firstLineChars="200"/>
        <w:rPr>
          <w:rFonts w:ascii="Times New Roman" w:hAnsi="Times New Roman"/>
          <w:sz w:val="24"/>
        </w:rPr>
      </w:pPr>
      <w:r>
        <w:rPr>
          <w:rFonts w:ascii="Times New Roman" w:hAnsi="Times New Roman"/>
          <w:sz w:val="24"/>
        </w:rPr>
        <w:t>（二）竞买申请人属于以下情形之一的不得参与竞买：</w:t>
      </w:r>
    </w:p>
    <w:p>
      <w:pPr>
        <w:spacing w:line="360" w:lineRule="exact"/>
        <w:ind w:firstLine="480" w:firstLineChars="200"/>
        <w:rPr>
          <w:rFonts w:ascii="Times New Roman" w:hAnsi="Times New Roman" w:eastAsia="宋体"/>
          <w:sz w:val="24"/>
        </w:rPr>
      </w:pPr>
      <w:r>
        <w:rPr>
          <w:rFonts w:hint="eastAsia" w:ascii="Times New Roman" w:hAnsi="Times New Roman"/>
          <w:sz w:val="24"/>
        </w:rPr>
        <w:t>1、在自然资源部矿业权人勘查开采信息公示系统的“矿业权人异常名录”“矿业权人严重违法名单”内；</w:t>
      </w:r>
    </w:p>
    <w:p>
      <w:pPr>
        <w:spacing w:line="360" w:lineRule="exact"/>
        <w:ind w:firstLine="480" w:firstLineChars="200"/>
        <w:rPr>
          <w:rFonts w:ascii="Times New Roman" w:hAnsi="Times New Roman"/>
          <w:sz w:val="24"/>
        </w:rPr>
      </w:pPr>
      <w:r>
        <w:rPr>
          <w:rFonts w:hint="eastAsia" w:ascii="Times New Roman" w:hAnsi="Times New Roman"/>
          <w:sz w:val="24"/>
        </w:rPr>
        <w:t>2.通过“信用中国”查询，在自然资源部联合惩戒备忘录或重庆市信用惩戒严重失信主体“黑名单”内限制禁止参与采矿权出让的；</w:t>
      </w:r>
    </w:p>
    <w:p>
      <w:pPr>
        <w:spacing w:line="360" w:lineRule="exact"/>
        <w:ind w:firstLine="480" w:firstLineChars="200"/>
        <w:rPr>
          <w:rFonts w:ascii="Times New Roman" w:hAnsi="Times New Roman"/>
          <w:sz w:val="24"/>
        </w:rPr>
      </w:pPr>
      <w:r>
        <w:rPr>
          <w:rFonts w:hint="eastAsia" w:ascii="Times New Roman" w:hAnsi="Times New Roman"/>
          <w:sz w:val="24"/>
        </w:rPr>
        <w:t>3.被吊销采矿许可证之日起2年内。</w:t>
      </w:r>
    </w:p>
    <w:p>
      <w:pPr>
        <w:spacing w:line="360" w:lineRule="exact"/>
        <w:ind w:firstLine="480" w:firstLineChars="200"/>
        <w:rPr>
          <w:rFonts w:ascii="Times New Roman" w:hAnsi="Times New Roman"/>
          <w:sz w:val="24"/>
        </w:rPr>
      </w:pPr>
      <w:r>
        <w:rPr>
          <w:rFonts w:hint="eastAsia" w:ascii="Times New Roman" w:hAnsi="Times New Roman"/>
          <w:sz w:val="24"/>
        </w:rPr>
        <w:t>五</w:t>
      </w:r>
      <w:r>
        <w:rPr>
          <w:rFonts w:ascii="Times New Roman" w:hAnsi="Times New Roman"/>
          <w:sz w:val="24"/>
        </w:rPr>
        <w:t>、风险提示：</w:t>
      </w:r>
    </w:p>
    <w:p>
      <w:pPr>
        <w:spacing w:line="360" w:lineRule="exact"/>
        <w:ind w:firstLine="480" w:firstLineChars="200"/>
        <w:rPr>
          <w:rFonts w:ascii="Times New Roman" w:hAnsi="Times New Roman"/>
          <w:sz w:val="24"/>
        </w:rPr>
      </w:pPr>
      <w:r>
        <w:rPr>
          <w:rFonts w:ascii="Times New Roman" w:hAnsi="Times New Roman"/>
          <w:sz w:val="24"/>
        </w:rPr>
        <w:t>（一）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80" w:firstLineChars="200"/>
        <w:rPr>
          <w:rFonts w:ascii="Times New Roman" w:hAnsi="Times New Roman"/>
          <w:sz w:val="24"/>
        </w:rPr>
      </w:pPr>
      <w:r>
        <w:rPr>
          <w:rFonts w:ascii="Times New Roman" w:hAnsi="Times New Roman"/>
          <w:sz w:val="24"/>
        </w:rPr>
        <w:t>（二）有关该宗采矿权的用地、用水、用电、公路、环保、基础设施等工作，由竞得人自行负责解决并依法完善相关手续；</w:t>
      </w:r>
    </w:p>
    <w:p>
      <w:pPr>
        <w:spacing w:line="360" w:lineRule="exact"/>
        <w:ind w:firstLine="480" w:firstLineChars="200"/>
        <w:rPr>
          <w:rFonts w:ascii="Times New Roman" w:hAnsi="Times New Roman"/>
          <w:sz w:val="24"/>
        </w:rPr>
      </w:pPr>
      <w:r>
        <w:rPr>
          <w:rFonts w:ascii="Times New Roman" w:hAnsi="Times New Roman"/>
          <w:sz w:val="24"/>
        </w:rPr>
        <w:t>（三）若竞得人竞得该宗采矿权后，在办理采矿登记所需要件时进行安全、环境评价等认定为不适宜开采的，该宗采矿权按不成交处理。</w:t>
      </w:r>
    </w:p>
    <w:p>
      <w:pPr>
        <w:spacing w:line="360" w:lineRule="exact"/>
        <w:ind w:firstLine="480" w:firstLineChars="200"/>
        <w:rPr>
          <w:rFonts w:ascii="Times New Roman" w:hAnsi="Times New Roman"/>
          <w:sz w:val="24"/>
        </w:rPr>
      </w:pPr>
      <w:r>
        <w:rPr>
          <w:rFonts w:hint="eastAsia" w:ascii="Times New Roman" w:hAnsi="Times New Roman"/>
          <w:sz w:val="24"/>
        </w:rPr>
        <w:t>六</w:t>
      </w:r>
      <w:r>
        <w:rPr>
          <w:rFonts w:ascii="Times New Roman" w:hAnsi="Times New Roman"/>
          <w:sz w:val="24"/>
        </w:rPr>
        <w:t>、提出异议的方式与途径：</w:t>
      </w:r>
    </w:p>
    <w:p>
      <w:pPr>
        <w:spacing w:line="360" w:lineRule="exact"/>
        <w:ind w:firstLine="480" w:firstLineChars="200"/>
        <w:rPr>
          <w:rFonts w:ascii="Times New Roman" w:hAnsi="Times New Roman"/>
          <w:b/>
          <w:sz w:val="24"/>
        </w:rPr>
      </w:pPr>
      <w:r>
        <w:rPr>
          <w:rFonts w:ascii="Times New Roman" w:hAnsi="Times New Roman"/>
          <w:sz w:val="24"/>
        </w:rPr>
        <w:t>对本次出让的采矿权存有异议的，应在公示期截止前以书</w:t>
      </w:r>
      <w:r>
        <w:rPr>
          <w:rFonts w:asciiTheme="minorEastAsia" w:hAnsiTheme="minorEastAsia"/>
          <w:sz w:val="24"/>
        </w:rPr>
        <w:t>面方式向</w:t>
      </w:r>
      <w:r>
        <w:rPr>
          <w:rFonts w:hint="eastAsia" w:asciiTheme="minorEastAsia" w:hAnsiTheme="minorEastAsia"/>
          <w:sz w:val="24"/>
        </w:rPr>
        <w:t>重庆市江津区规划和自然资源局</w:t>
      </w:r>
      <w:r>
        <w:rPr>
          <w:rFonts w:asciiTheme="minorEastAsia" w:hAnsiTheme="minorEastAsia"/>
          <w:sz w:val="24"/>
        </w:rPr>
        <w:t>提</w:t>
      </w:r>
      <w:r>
        <w:rPr>
          <w:rFonts w:ascii="Times New Roman" w:hAnsi="Times New Roman"/>
          <w:sz w:val="24"/>
        </w:rPr>
        <w:t>出；对出让交易程序存有异议的，应在公示期截止前以书面方式向</w:t>
      </w:r>
      <w:r>
        <w:rPr>
          <w:rFonts w:hint="eastAsia" w:ascii="Times New Roman" w:hAnsi="Times New Roman"/>
          <w:sz w:val="24"/>
        </w:rPr>
        <w:t>重庆市江津区津兴市场管理服务有限公司</w:t>
      </w:r>
      <w:r>
        <w:rPr>
          <w:rFonts w:ascii="Times New Roman" w:hAnsi="Times New Roman"/>
          <w:sz w:val="24"/>
        </w:rPr>
        <w:t>提出。根据所提异议的具体情况，按照《矿业权交易规则》等相关规定进行妥善处置。</w:t>
      </w:r>
    </w:p>
    <w:p>
      <w:pPr>
        <w:spacing w:line="360" w:lineRule="exact"/>
        <w:ind w:firstLine="480" w:firstLineChars="200"/>
        <w:rPr>
          <w:rFonts w:ascii="Times New Roman" w:hAnsi="Times New Roman" w:eastAsia="方正仿宋_GBK"/>
          <w:b w:val="0"/>
          <w:bCs/>
        </w:rPr>
      </w:pPr>
      <w:r>
        <w:rPr>
          <w:rFonts w:hint="eastAsia" w:ascii="Times New Roman" w:hAnsi="Times New Roman"/>
          <w:b w:val="0"/>
          <w:bCs/>
          <w:sz w:val="24"/>
        </w:rPr>
        <w:t>七</w:t>
      </w:r>
      <w:r>
        <w:rPr>
          <w:rFonts w:ascii="Times New Roman" w:hAnsi="Times New Roman"/>
          <w:b w:val="0"/>
          <w:bCs/>
          <w:sz w:val="24"/>
        </w:rPr>
        <w:t>、其他重要提示及要求：</w:t>
      </w:r>
    </w:p>
    <w:p>
      <w:pPr>
        <w:spacing w:line="360" w:lineRule="exact"/>
        <w:ind w:firstLine="480" w:firstLineChars="200"/>
        <w:rPr>
          <w:rFonts w:hint="eastAsia" w:ascii="Times New Roman" w:hAnsi="Times New Roman"/>
          <w:sz w:val="24"/>
        </w:rPr>
      </w:pPr>
      <w:r>
        <w:rPr>
          <w:rFonts w:hint="eastAsia" w:ascii="Times New Roman" w:hAnsi="Times New Roman"/>
          <w:sz w:val="24"/>
        </w:rPr>
        <w:t>（一）本次公开出让采矿权报名截止后，江津区津兴市场管理服务有限公司将会同重庆市江津区规划和自然资源局对竞买人的竞买资格进行联合审查，审查时间为：2022年10月28日18:00以前；资格审查结束后由江津区津兴市场管理服务有限公司通知竞买人领取《采矿权竞买资格审查通知书》。</w:t>
      </w:r>
    </w:p>
    <w:p>
      <w:pPr>
        <w:spacing w:line="360" w:lineRule="exact"/>
        <w:ind w:firstLine="480" w:firstLineChars="200"/>
        <w:rPr>
          <w:rFonts w:hint="eastAsia" w:ascii="Times New Roman" w:hAnsi="Times New Roman"/>
          <w:sz w:val="24"/>
        </w:rPr>
      </w:pPr>
      <w:r>
        <w:rPr>
          <w:rFonts w:hint="eastAsia" w:ascii="Times New Roman" w:hAnsi="Times New Roman"/>
          <w:sz w:val="24"/>
        </w:rPr>
        <w:t>（二）本次公告采矿权公开出让的重庆市江津区两河口矿业有限公司建筑用砂岩矿采矿权，是利用原生产矿山重庆市江津区两河口矿业有限公司扩大矿区增划资源。竞买申请人须认真详读竞买须知，现场踏勘并详细了解出让范围及周边土地、山权、林权、道路、地下管线、水电供给、废渣占地堆放、地表附着物、社群关系等各类影响开采的外部条件以及资产评估和其它权益补偿情况。提交竞买申请即视为竞买人对采矿权现状、公告须知、采矿权出让合同内容、资产评估及其它权益补偿已完全认可并自愿承担所有风险。</w:t>
      </w:r>
    </w:p>
    <w:p>
      <w:pPr>
        <w:spacing w:line="360" w:lineRule="exact"/>
        <w:ind w:firstLine="480" w:firstLineChars="200"/>
        <w:rPr>
          <w:rFonts w:hint="eastAsia" w:ascii="Times New Roman" w:hAnsi="Times New Roman"/>
          <w:sz w:val="24"/>
        </w:rPr>
      </w:pPr>
      <w:r>
        <w:rPr>
          <w:rFonts w:hint="eastAsia" w:ascii="Times New Roman" w:hAnsi="Times New Roman"/>
          <w:sz w:val="24"/>
        </w:rPr>
        <w:t>（三）根据四川省地平线矿产资源咨询有限责任公司于2021年11月5提交的《重庆市江津区两河口矿业有限公司采矿权评估报告》川地评字（2021）第35号,矿区范围内参与评估的资源量1165.54万吨，属国家征收采矿权出让收益的资源量为1156.27万吨，（其中原矿区范围内保有控制资源量9.27万吨，新增控制资源量1156.27万吨；可利用资源量730.75万吨，边坡设计损失量434.79万吨，区内资源量采矿回采率按95%计算，可采资源量约694.21万吨。生产规模55.00万吨/年，矿山服务年限12.62年（12年8个月），评估计算年限12.62年）。该矿区范围内原剩余资源储量9.27万吨未纳入本次公开出让，成交确认后，原矿权人剩余资源储量由竞得人于《重庆市采矿权出让合同》签订前，按川地评字（2021）第35号（评估基准日2021年9月30日）中的采矿权出让收益基准价为9.27万吨*2.63元/吨＝24.38万元，支付给原采矿权人指定账户（收款单位：重庆市江津区两河口矿业有限公司，开户行：重庆三峡银行股份有限公司江津支行，账号：0164014210004075），开采权利归新竞得人所有。</w:t>
      </w:r>
    </w:p>
    <w:p>
      <w:pPr>
        <w:spacing w:line="360" w:lineRule="exact"/>
        <w:ind w:firstLine="480" w:firstLineChars="200"/>
        <w:rPr>
          <w:rFonts w:hint="eastAsia" w:ascii="Times New Roman" w:hAnsi="Times New Roman"/>
          <w:sz w:val="24"/>
        </w:rPr>
      </w:pPr>
      <w:r>
        <w:rPr>
          <w:rFonts w:hint="eastAsia" w:ascii="Times New Roman" w:hAnsi="Times New Roman"/>
          <w:sz w:val="24"/>
        </w:rPr>
        <w:t>（四）竞买人竞得本矿权并获得采矿许可证后，还需取得用地、安全、环保、林业、水利、工商等部门许可后方可开采矿产资源。竞得人须自行或委托编制矿山地质环境恢复治理和土地复垦方案并通过审查，同时按照《矿山地质环境保护规定》等相关规定履行矿山地质环境保护相关义务，同时按照应急管理等部门相关要求规范开采，包括但不限于与相邻矿山签订安全互保协议。</w:t>
      </w:r>
    </w:p>
    <w:p>
      <w:pPr>
        <w:spacing w:line="360" w:lineRule="exact"/>
        <w:ind w:firstLine="480" w:firstLineChars="200"/>
        <w:rPr>
          <w:rFonts w:hint="eastAsia" w:ascii="Times New Roman" w:hAnsi="Times New Roman"/>
          <w:sz w:val="24"/>
        </w:rPr>
      </w:pPr>
      <w:r>
        <w:rPr>
          <w:rFonts w:hint="eastAsia" w:ascii="Times New Roman" w:hAnsi="Times New Roman"/>
          <w:sz w:val="24"/>
        </w:rPr>
        <w:t>（五）原采矿权人的机器设备、房屋建筑、构筑物及其他辅助设施、土地租赁费用等固定资产投入评估价值详见《重庆市江津区两河口矿业有限公司拟转让涉及采矿相关的资产市场价值评估项目评估报告》宏岭评资（2022）第039号（评估基准日为2022年7月21日），其固定资产投入等其他费用2068.72万元（其中：固定资产价值评估2065.72万元，《固定资产价值报告书》编制费用3万元）。由竞买申请人自行进行必要的现场踏勘，竞买人报名参加竞买视为对评估报告内容的全部认可。竞买人竞得本矿权，须于取得成交确认书后5日内与原采矿权人进行实物交接并签字（交接内容为评估清单涵盖的所有资产），10日内由竞得人一次性将2068.72万元（资产评估值100%）直接支付给原矿业权人指定账户（收款单位：重庆市江津区两河口矿业有限公司，开户行：重庆三峡银行股份有限公司江津支行，账号：0164014210004075），相关税费双方依法依规自行承担。</w:t>
      </w:r>
    </w:p>
    <w:p>
      <w:pPr>
        <w:spacing w:line="360" w:lineRule="exact"/>
        <w:ind w:firstLine="480" w:firstLineChars="200"/>
        <w:rPr>
          <w:rFonts w:hint="eastAsia" w:ascii="Times New Roman" w:hAnsi="Times New Roman"/>
          <w:sz w:val="24"/>
        </w:rPr>
      </w:pPr>
      <w:r>
        <w:rPr>
          <w:rFonts w:hint="eastAsia" w:ascii="Times New Roman" w:hAnsi="Times New Roman"/>
          <w:sz w:val="24"/>
        </w:rPr>
        <w:t>（六）竞得人逾期未缴纳相关费用的，视为竞得人自动放弃采矿权，不退还竞买保证金。原采矿权人未按时移交资产、未按要求注销原采矿权，江津区规划自然资源局不再延续该采矿权，同时原采矿权人承担相应的经济责任。</w:t>
      </w:r>
    </w:p>
    <w:p>
      <w:pPr>
        <w:spacing w:line="360" w:lineRule="exact"/>
        <w:ind w:firstLine="480" w:firstLineChars="200"/>
        <w:rPr>
          <w:rFonts w:hint="eastAsia" w:ascii="Times New Roman" w:hAnsi="Times New Roman"/>
          <w:sz w:val="24"/>
        </w:rPr>
      </w:pPr>
      <w:r>
        <w:rPr>
          <w:rFonts w:hint="eastAsia" w:ascii="Times New Roman" w:hAnsi="Times New Roman"/>
          <w:sz w:val="24"/>
        </w:rPr>
        <w:t>（七）若本次公开出让采取拍卖方式，产生的拍卖服务费用1万元、相关税费由竞得人自行承担。</w:t>
      </w:r>
    </w:p>
    <w:p>
      <w:pPr>
        <w:spacing w:line="360" w:lineRule="exact"/>
        <w:ind w:firstLine="480" w:firstLineChars="200"/>
        <w:rPr>
          <w:rFonts w:ascii="Times New Roman" w:hAnsi="Times New Roman"/>
          <w:sz w:val="24"/>
        </w:rPr>
      </w:pPr>
      <w:r>
        <w:rPr>
          <w:rFonts w:hint="eastAsia" w:ascii="Times New Roman" w:hAnsi="Times New Roman"/>
          <w:sz w:val="24"/>
        </w:rPr>
        <w:t>（八）本宗采矿权《出让技术报告》《矿业权评估报告》可凭报名相关凭证到江津区规划和自然资源局查阅。</w:t>
      </w:r>
    </w:p>
    <w:p>
      <w:pPr>
        <w:spacing w:line="360" w:lineRule="exact"/>
        <w:ind w:firstLine="480" w:firstLineChars="200"/>
        <w:rPr>
          <w:rFonts w:ascii="Times New Roman" w:hAnsi="Times New Roman"/>
          <w:sz w:val="24"/>
        </w:rPr>
      </w:pPr>
    </w:p>
    <w:p>
      <w:pPr>
        <w:spacing w:line="360" w:lineRule="exact"/>
        <w:ind w:firstLine="480" w:firstLineChars="200"/>
        <w:jc w:val="right"/>
        <w:rPr>
          <w:rFonts w:ascii="Times New Roman" w:hAnsi="Times New Roman"/>
          <w:sz w:val="24"/>
        </w:rPr>
      </w:pPr>
      <w:r>
        <w:rPr>
          <w:rFonts w:ascii="Times New Roman" w:hAnsi="Times New Roman"/>
          <w:sz w:val="24"/>
        </w:rPr>
        <w:t>重庆市江津区规划和自然资源局</w:t>
      </w:r>
    </w:p>
    <w:p>
      <w:pPr>
        <w:spacing w:line="360" w:lineRule="exact"/>
        <w:ind w:firstLine="480" w:firstLineChars="200"/>
        <w:jc w:val="right"/>
        <w:rPr>
          <w:rFonts w:ascii="Times New Roman" w:hAnsi="Times New Roman"/>
          <w:sz w:val="24"/>
        </w:rPr>
      </w:pPr>
    </w:p>
    <w:p>
      <w:pPr>
        <w:spacing w:line="360" w:lineRule="exact"/>
        <w:ind w:firstLine="480" w:firstLineChars="200"/>
        <w:rPr>
          <w:rFonts w:ascii="Times New Roman" w:hAnsi="Times New Roman" w:eastAsia="宋体"/>
          <w:i/>
          <w:iCs/>
          <w:sz w:val="24"/>
          <w:szCs w:val="28"/>
        </w:rPr>
        <w:sectPr>
          <w:pgSz w:w="16838" w:h="11906" w:orient="landscape"/>
          <w:pgMar w:top="567" w:right="1134" w:bottom="567" w:left="1134" w:header="851" w:footer="992" w:gutter="0"/>
          <w:cols w:space="720" w:num="1"/>
          <w:docGrid w:type="lines" w:linePitch="312" w:charSpace="0"/>
        </w:sectPr>
      </w:pPr>
    </w:p>
    <w:p>
      <w:pPr>
        <w:pageBreakBefore/>
        <w:widowControl/>
        <w:spacing w:line="600" w:lineRule="exact"/>
        <w:jc w:val="center"/>
        <w:rPr>
          <w:rFonts w:ascii="Times New Roman" w:hAnsi="Times New Roman" w:eastAsia="方正小标宋_GBK"/>
          <w:sz w:val="28"/>
          <w:szCs w:val="28"/>
        </w:rPr>
      </w:pPr>
      <w:r>
        <w:rPr>
          <w:rFonts w:ascii="Times New Roman" w:hAnsi="Times New Roman" w:eastAsia="方正小标宋_GBK"/>
          <w:sz w:val="28"/>
          <w:szCs w:val="28"/>
        </w:rPr>
        <w:t>重庆市江津区两河口矿业有限公司建筑用砂岩矿采矿权</w:t>
      </w:r>
    </w:p>
    <w:p>
      <w:pPr>
        <w:widowControl/>
        <w:spacing w:line="600" w:lineRule="exact"/>
        <w:jc w:val="center"/>
        <w:rPr>
          <w:rFonts w:ascii="Times New Roman" w:hAnsi="Times New Roman" w:eastAsia="方正小标宋_GBK"/>
          <w:sz w:val="28"/>
          <w:szCs w:val="28"/>
        </w:rPr>
      </w:pPr>
      <w:r>
        <w:rPr>
          <w:rFonts w:ascii="Times New Roman" w:hAnsi="Times New Roman" w:eastAsia="方正小标宋_GBK"/>
          <w:sz w:val="28"/>
          <w:szCs w:val="28"/>
        </w:rPr>
        <w:t>竞买须知</w:t>
      </w:r>
    </w:p>
    <w:p>
      <w:pPr>
        <w:widowControl/>
        <w:spacing w:line="360" w:lineRule="exact"/>
        <w:jc w:val="right"/>
        <w:rPr>
          <w:rFonts w:ascii="Times New Roman" w:hAnsi="Times New Roman"/>
          <w:szCs w:val="21"/>
        </w:rPr>
      </w:pPr>
    </w:p>
    <w:p>
      <w:pPr>
        <w:widowControl/>
        <w:spacing w:line="360" w:lineRule="exact"/>
        <w:jc w:val="right"/>
        <w:rPr>
          <w:rFonts w:ascii="Times New Roman" w:hAnsi="Times New Roman"/>
          <w:b/>
          <w:szCs w:val="21"/>
        </w:rPr>
      </w:pPr>
      <w:r>
        <w:rPr>
          <w:rFonts w:ascii="Times New Roman" w:hAnsi="Times New Roman"/>
          <w:b/>
          <w:szCs w:val="21"/>
        </w:rPr>
        <w:t>公告序号：</w:t>
      </w:r>
      <w:r>
        <w:rPr>
          <w:rFonts w:ascii="Times New Roman" w:hAnsi="Times New Roman"/>
          <w:szCs w:val="21"/>
        </w:rPr>
        <w:t>JJGC202202</w:t>
      </w:r>
    </w:p>
    <w:p>
      <w:pPr>
        <w:spacing w:line="360" w:lineRule="exact"/>
        <w:ind w:firstLine="420" w:firstLineChars="200"/>
        <w:rPr>
          <w:rFonts w:ascii="Times New Roman" w:hAnsi="Times New Roman"/>
          <w:szCs w:val="21"/>
        </w:rPr>
      </w:pPr>
      <w:r>
        <w:rPr>
          <w:rFonts w:hint="eastAsia" w:ascii="Times New Roman" w:hAnsi="Times New Roman"/>
          <w:szCs w:val="21"/>
        </w:rPr>
        <w:t>重庆市江津区两河口矿业有限公司建筑用砂岩矿</w:t>
      </w:r>
      <w:r>
        <w:rPr>
          <w:rFonts w:ascii="Times New Roman" w:hAnsi="Times New Roman"/>
          <w:szCs w:val="21"/>
        </w:rPr>
        <w:t>采矿权位于</w:t>
      </w:r>
      <w:r>
        <w:rPr>
          <w:rFonts w:hint="eastAsia" w:ascii="Times New Roman" w:hAnsi="Times New Roman"/>
          <w:szCs w:val="21"/>
        </w:rPr>
        <w:t>江津区蔡家镇新开村石码子社</w:t>
      </w:r>
      <w:r>
        <w:rPr>
          <w:rFonts w:ascii="Times New Roman" w:hAnsi="Times New Roman"/>
          <w:szCs w:val="21"/>
        </w:rPr>
        <w:t>，为合理开发利用矿产资源，维护矿产资源的国家所有权，建立规范、开放、竞争、有序的矿业权市场，根据《矿业权交易规则》、《探矿权采矿权招标拍卖挂牌管理办法（试行）》等有关规定，决定对该采矿权进行网上公开出让。</w:t>
      </w:r>
    </w:p>
    <w:p>
      <w:pPr>
        <w:spacing w:line="360" w:lineRule="exact"/>
        <w:ind w:firstLine="420" w:firstLineChars="200"/>
        <w:rPr>
          <w:rFonts w:asciiTheme="minorEastAsia" w:hAnsiTheme="minorEastAsia"/>
          <w:szCs w:val="21"/>
        </w:rPr>
      </w:pPr>
      <w:r>
        <w:rPr>
          <w:rFonts w:ascii="Times New Roman" w:hAnsi="Times New Roman"/>
          <w:szCs w:val="21"/>
        </w:rPr>
        <w:t>本次</w:t>
      </w:r>
      <w:r>
        <w:rPr>
          <w:rFonts w:hint="eastAsia" w:ascii="Times New Roman" w:hAnsi="Times New Roman"/>
          <w:szCs w:val="21"/>
        </w:rPr>
        <w:t>公告</w:t>
      </w:r>
      <w:r>
        <w:rPr>
          <w:rFonts w:asciiTheme="minorEastAsia" w:hAnsiTheme="minorEastAsia"/>
          <w:szCs w:val="21"/>
        </w:rPr>
        <w:t>网址为：</w:t>
      </w:r>
      <w:r>
        <w:rPr>
          <w:rFonts w:hint="eastAsia" w:asciiTheme="minorEastAsia" w:hAnsiTheme="minorEastAsia"/>
          <w:szCs w:val="21"/>
        </w:rPr>
        <w:t>重庆市江津区津兴市场管理服务有限公司</w:t>
      </w:r>
      <w:r>
        <w:rPr>
          <w:rFonts w:asciiTheme="minorEastAsia" w:hAnsiTheme="minorEastAsia"/>
          <w:szCs w:val="21"/>
        </w:rPr>
        <w:t>（</w:t>
      </w:r>
      <w:r>
        <w:rPr>
          <w:rFonts w:hint="eastAsia" w:asciiTheme="minorEastAsia" w:hAnsiTheme="minorEastAsia"/>
          <w:szCs w:val="21"/>
        </w:rPr>
        <w:t xml:space="preserve">https://www.cqggzy.com/jiangjinweb/ </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此次采矿权公开出让遵循公开、公平、公正和诚实信用原则，并按价高者得的原则确定竞得人。</w:t>
      </w:r>
    </w:p>
    <w:p>
      <w:pPr>
        <w:spacing w:line="360" w:lineRule="exact"/>
        <w:ind w:firstLine="422" w:firstLineChars="200"/>
        <w:rPr>
          <w:rFonts w:ascii="Times New Roman" w:hAnsi="Times New Roman"/>
          <w:b/>
          <w:bCs/>
          <w:szCs w:val="21"/>
        </w:rPr>
      </w:pPr>
      <w:r>
        <w:rPr>
          <w:rFonts w:ascii="Times New Roman" w:hAnsi="Times New Roman"/>
          <w:b/>
          <w:bCs/>
          <w:szCs w:val="21"/>
        </w:rPr>
        <w:t>一、出让采矿权基本情况</w:t>
      </w:r>
    </w:p>
    <w:p>
      <w:pPr>
        <w:spacing w:line="360" w:lineRule="exact"/>
        <w:ind w:firstLine="420" w:firstLineChars="200"/>
        <w:rPr>
          <w:rFonts w:ascii="Times New Roman" w:hAnsi="Times New Roman"/>
          <w:b/>
          <w:bCs/>
          <w:szCs w:val="21"/>
        </w:rPr>
      </w:pPr>
      <w:r>
        <w:rPr>
          <w:rFonts w:ascii="Times New Roman" w:hAnsi="Times New Roman"/>
          <w:szCs w:val="21"/>
        </w:rPr>
        <w:t>（一）公告时间</w:t>
      </w:r>
      <w:r>
        <w:rPr>
          <w:rFonts w:asciiTheme="minorEastAsia" w:hAnsiTheme="minorEastAsia"/>
          <w:szCs w:val="21"/>
        </w:rPr>
        <w:t>：</w:t>
      </w:r>
      <w:r>
        <w:rPr>
          <w:rFonts w:hint="eastAsia" w:asciiTheme="minorEastAsia" w:hAnsiTheme="minorEastAsia"/>
          <w:szCs w:val="21"/>
        </w:rPr>
        <w:t>2022年09月28日09时30分</w:t>
      </w:r>
      <w:r>
        <w:rPr>
          <w:rFonts w:asciiTheme="minorEastAsia" w:hAnsiTheme="minorEastAsia"/>
          <w:szCs w:val="21"/>
        </w:rPr>
        <w:t>-</w:t>
      </w:r>
      <w:r>
        <w:rPr>
          <w:rFonts w:hint="eastAsia" w:asciiTheme="minorEastAsia" w:hAnsiTheme="minorEastAsia"/>
          <w:szCs w:val="21"/>
        </w:rPr>
        <w:t>2022年10月28日12时</w:t>
      </w:r>
      <w:r>
        <w:rPr>
          <w:rFonts w:asciiTheme="minorEastAsia" w:hAnsiTheme="minorEastAsia"/>
          <w:szCs w:val="21"/>
        </w:rPr>
        <w:t>；</w:t>
      </w:r>
    </w:p>
    <w:p>
      <w:pPr>
        <w:spacing w:line="360" w:lineRule="exact"/>
        <w:ind w:firstLine="420" w:firstLineChars="200"/>
        <w:rPr>
          <w:rFonts w:ascii="Times New Roman" w:hAnsi="Times New Roman"/>
          <w:b/>
          <w:bCs/>
          <w:szCs w:val="21"/>
        </w:rPr>
      </w:pPr>
      <w:r>
        <w:rPr>
          <w:rFonts w:ascii="Times New Roman" w:hAnsi="Times New Roman"/>
          <w:szCs w:val="21"/>
        </w:rPr>
        <w:t>（二）采矿权名称（暂定名）：</w:t>
      </w:r>
      <w:r>
        <w:rPr>
          <w:rFonts w:hint="eastAsia" w:ascii="Times New Roman" w:hAnsi="Times New Roman"/>
          <w:szCs w:val="21"/>
        </w:rPr>
        <w:t>重庆市江津区两河口矿业有限公司建筑用砂岩矿</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（三）地理位置：</w:t>
      </w:r>
      <w:r>
        <w:rPr>
          <w:rFonts w:hint="eastAsia" w:ascii="Times New Roman" w:hAnsi="Times New Roman"/>
          <w:szCs w:val="21"/>
        </w:rPr>
        <w:t>江津区蔡家镇新开村石码子社</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（四）出让收益起始价：</w:t>
      </w:r>
      <w:r>
        <w:rPr>
          <w:rFonts w:hint="eastAsia" w:ascii="Times New Roman" w:hAnsi="Times New Roman"/>
          <w:szCs w:val="21"/>
        </w:rPr>
        <w:t>3040.99</w:t>
      </w:r>
      <w:r>
        <w:rPr>
          <w:rFonts w:ascii="Times New Roman" w:hAnsi="Times New Roman"/>
          <w:szCs w:val="21"/>
        </w:rPr>
        <w:t>万元；</w:t>
      </w:r>
    </w:p>
    <w:p>
      <w:pPr>
        <w:spacing w:line="360" w:lineRule="exact"/>
        <w:ind w:firstLine="420" w:firstLineChars="200"/>
        <w:rPr>
          <w:rFonts w:ascii="Times New Roman" w:hAnsi="Times New Roman"/>
          <w:b/>
          <w:bCs/>
          <w:szCs w:val="21"/>
        </w:rPr>
      </w:pPr>
      <w:r>
        <w:rPr>
          <w:rFonts w:ascii="Times New Roman" w:hAnsi="Times New Roman"/>
          <w:szCs w:val="21"/>
        </w:rPr>
        <w:t>（五）矿区面积：</w:t>
      </w:r>
      <w:r>
        <w:rPr>
          <w:rFonts w:hint="eastAsia" w:ascii="Times New Roman" w:hAnsi="Times New Roman"/>
          <w:szCs w:val="21"/>
        </w:rPr>
        <w:t>0.0777</w:t>
      </w:r>
      <w:r>
        <w:rPr>
          <w:rFonts w:ascii="Times New Roman" w:hAnsi="Times New Roman"/>
          <w:szCs w:val="21"/>
        </w:rPr>
        <w:t>平方公里；</w:t>
      </w:r>
    </w:p>
    <w:p>
      <w:pPr>
        <w:spacing w:line="360" w:lineRule="exact"/>
        <w:ind w:firstLine="420" w:firstLineChars="200"/>
        <w:rPr>
          <w:rFonts w:ascii="Times New Roman" w:hAnsi="Times New Roman"/>
          <w:szCs w:val="21"/>
        </w:rPr>
      </w:pPr>
      <w:r>
        <w:rPr>
          <w:rFonts w:ascii="Times New Roman" w:hAnsi="Times New Roman"/>
          <w:szCs w:val="21"/>
        </w:rPr>
        <w:t>（六）开采标高：</w:t>
      </w:r>
      <w:r>
        <w:rPr>
          <w:rFonts w:hint="eastAsia" w:ascii="Times New Roman" w:hAnsi="Times New Roman"/>
        </w:rPr>
        <w:t>+470米至+348米</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（七）开采矿种：</w:t>
      </w:r>
      <w:r>
        <w:rPr>
          <w:rFonts w:hint="eastAsia" w:ascii="Times New Roman" w:hAnsi="Times New Roman"/>
          <w:szCs w:val="21"/>
        </w:rPr>
        <w:t>建筑用砂岩</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（八）资源储量：</w:t>
      </w:r>
      <w:r>
        <w:rPr>
          <w:rFonts w:hint="eastAsia" w:ascii="Times New Roman" w:hAnsi="Times New Roman"/>
          <w:szCs w:val="21"/>
        </w:rPr>
        <w:t>1156.27万吨</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（九）生产规模：</w:t>
      </w:r>
      <w:r>
        <w:rPr>
          <w:rFonts w:hint="eastAsia" w:ascii="Times New Roman" w:hAnsi="Times New Roman"/>
          <w:szCs w:val="21"/>
        </w:rPr>
        <w:t>55吨/年</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（十）采矿权出让年限：</w:t>
      </w:r>
      <w:r>
        <w:rPr>
          <w:rFonts w:hint="eastAsia" w:ascii="Times New Roman" w:hAnsi="Times New Roman"/>
          <w:szCs w:val="21"/>
        </w:rPr>
        <w:t>12.62</w:t>
      </w:r>
      <w:r>
        <w:rPr>
          <w:rFonts w:ascii="Times New Roman" w:hAnsi="Times New Roman"/>
          <w:szCs w:val="21"/>
        </w:rPr>
        <w:t>年；</w:t>
      </w:r>
    </w:p>
    <w:p>
      <w:pPr>
        <w:spacing w:line="360" w:lineRule="exact"/>
        <w:ind w:firstLine="420" w:firstLineChars="200"/>
        <w:jc w:val="left"/>
        <w:rPr>
          <w:rFonts w:ascii="Times New Roman" w:hAnsi="Times New Roman"/>
          <w:szCs w:val="21"/>
        </w:rPr>
      </w:pPr>
      <w:r>
        <w:rPr>
          <w:rFonts w:ascii="Times New Roman" w:hAnsi="Times New Roman"/>
          <w:szCs w:val="21"/>
        </w:rPr>
        <w:t>（十一）矿区范围坐标（2000坐标系）：</w:t>
      </w:r>
    </w:p>
    <w:tbl>
      <w:tblPr>
        <w:tblStyle w:val="4"/>
        <w:tblW w:w="79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2513"/>
        <w:gridCol w:w="2778"/>
        <w:gridCol w:w="26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0" w:hRule="exact"/>
        </w:trPr>
        <w:tc>
          <w:tcPr>
            <w:tcW w:w="2513" w:type="dxa"/>
            <w:vAlign w:val="center"/>
          </w:tcPr>
          <w:p>
            <w:pPr>
              <w:spacing w:line="360" w:lineRule="exact"/>
              <w:jc w:val="center"/>
              <w:rPr>
                <w:rFonts w:ascii="Times New Roman" w:hAnsi="Times New Roman"/>
                <w:szCs w:val="21"/>
              </w:rPr>
            </w:pPr>
            <w:r>
              <w:rPr>
                <w:rFonts w:ascii="Times New Roman" w:hAnsi="Times New Roman"/>
                <w:szCs w:val="21"/>
              </w:rPr>
              <w:t>拐点</w:t>
            </w:r>
          </w:p>
        </w:tc>
        <w:tc>
          <w:tcPr>
            <w:tcW w:w="2778" w:type="dxa"/>
            <w:vAlign w:val="center"/>
          </w:tcPr>
          <w:p>
            <w:pPr>
              <w:spacing w:line="360" w:lineRule="exact"/>
              <w:jc w:val="center"/>
              <w:rPr>
                <w:rFonts w:ascii="Times New Roman" w:hAnsi="Times New Roman"/>
                <w:szCs w:val="21"/>
              </w:rPr>
            </w:pPr>
            <w:r>
              <w:rPr>
                <w:rFonts w:ascii="Times New Roman" w:hAnsi="Times New Roman"/>
                <w:szCs w:val="21"/>
              </w:rPr>
              <w:t>X坐标</w:t>
            </w:r>
          </w:p>
        </w:tc>
        <w:tc>
          <w:tcPr>
            <w:tcW w:w="2655" w:type="dxa"/>
            <w:vAlign w:val="center"/>
          </w:tcPr>
          <w:p>
            <w:pPr>
              <w:spacing w:line="360" w:lineRule="exact"/>
              <w:jc w:val="center"/>
              <w:rPr>
                <w:rFonts w:ascii="Times New Roman" w:hAnsi="Times New Roman"/>
                <w:szCs w:val="21"/>
              </w:rPr>
            </w:pPr>
            <w:r>
              <w:rPr>
                <w:rFonts w:ascii="Times New Roman" w:hAnsi="Times New Roman"/>
                <w:szCs w:val="21"/>
              </w:rPr>
              <w:t>Y坐标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1</w:t>
            </w:r>
          </w:p>
        </w:tc>
        <w:tc>
          <w:tcPr>
            <w:tcW w:w="360" w:type="dxa"/>
          </w:tcPr>
          <w:p>
            <w:pPr>
              <w:spacing w:line="360" w:lineRule="exact"/>
              <w:jc w:val="center"/>
              <w:rPr>
                <w:rFonts w:ascii="Times New Roman" w:hAnsi="Times New Roman"/>
                <w:szCs w:val="21"/>
              </w:rPr>
            </w:pPr>
            <w:r>
              <w:rPr>
                <w:rFonts w:hint="eastAsia" w:ascii="Times New Roman" w:hAnsi="Times New Roman"/>
                <w:szCs w:val="21"/>
              </w:rPr>
              <w:t xml:space="preserve">3201637.40 </w:t>
            </w:r>
          </w:p>
        </w:tc>
        <w:tc>
          <w:tcPr>
            <w:tcW w:w="360" w:type="dxa"/>
          </w:tcPr>
          <w:p>
            <w:pPr>
              <w:spacing w:line="360" w:lineRule="exact"/>
              <w:jc w:val="center"/>
              <w:rPr>
                <w:rFonts w:ascii="Times New Roman" w:hAnsi="Times New Roman"/>
                <w:szCs w:val="21"/>
              </w:rPr>
            </w:pPr>
            <w:r>
              <w:rPr>
                <w:rFonts w:hint="eastAsia" w:ascii="Times New Roman" w:hAnsi="Times New Roman"/>
                <w:szCs w:val="21"/>
              </w:rPr>
              <w:t xml:space="preserve">35631118.14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2</w:t>
            </w:r>
          </w:p>
        </w:tc>
        <w:tc>
          <w:tcPr>
            <w:tcW w:w="360" w:type="dxa"/>
          </w:tcPr>
          <w:p>
            <w:pPr>
              <w:spacing w:line="360" w:lineRule="exact"/>
              <w:jc w:val="center"/>
              <w:rPr>
                <w:rFonts w:ascii="Times New Roman" w:hAnsi="Times New Roman"/>
                <w:szCs w:val="21"/>
              </w:rPr>
            </w:pPr>
            <w:r>
              <w:rPr>
                <w:rFonts w:hint="eastAsia" w:ascii="Times New Roman" w:hAnsi="Times New Roman"/>
                <w:szCs w:val="21"/>
              </w:rPr>
              <w:t xml:space="preserve">3201542.40 </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35631373.14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3</w:t>
            </w:r>
          </w:p>
        </w:tc>
        <w:tc>
          <w:tcPr>
            <w:tcW w:w="360" w:type="dxa"/>
          </w:tcPr>
          <w:p>
            <w:pPr>
              <w:spacing w:line="360" w:lineRule="exact"/>
              <w:jc w:val="center"/>
              <w:rPr>
                <w:rFonts w:ascii="Times New Roman" w:hAnsi="Times New Roman"/>
                <w:szCs w:val="21"/>
              </w:rPr>
            </w:pPr>
            <w:r>
              <w:rPr>
                <w:rFonts w:hint="eastAsia" w:ascii="Times New Roman" w:hAnsi="Times New Roman"/>
                <w:szCs w:val="21"/>
              </w:rPr>
              <w:t xml:space="preserve">3201324.40 </w:t>
            </w:r>
          </w:p>
        </w:tc>
        <w:tc>
          <w:tcPr>
            <w:tcW w:w="360" w:type="dxa"/>
          </w:tcPr>
          <w:p>
            <w:pPr>
              <w:spacing w:line="360" w:lineRule="exact"/>
              <w:jc w:val="center"/>
              <w:rPr>
                <w:rFonts w:ascii="Times New Roman" w:hAnsi="Times New Roman"/>
                <w:szCs w:val="21"/>
              </w:rPr>
            </w:pPr>
            <w:r>
              <w:rPr>
                <w:rFonts w:hint="eastAsia" w:ascii="Times New Roman" w:hAnsi="Times New Roman"/>
                <w:szCs w:val="21"/>
              </w:rPr>
              <w:t xml:space="preserve">35631398.14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4</w:t>
            </w:r>
          </w:p>
        </w:tc>
        <w:tc>
          <w:tcPr>
            <w:tcW w:w="360" w:type="dxa"/>
          </w:tcPr>
          <w:p>
            <w:pPr>
              <w:spacing w:line="360" w:lineRule="exact"/>
              <w:jc w:val="center"/>
              <w:rPr>
                <w:rFonts w:ascii="Times New Roman" w:hAnsi="Times New Roman"/>
                <w:szCs w:val="21"/>
              </w:rPr>
            </w:pPr>
            <w:r>
              <w:rPr>
                <w:rFonts w:hint="eastAsia" w:ascii="Times New Roman" w:hAnsi="Times New Roman"/>
                <w:szCs w:val="21"/>
              </w:rPr>
              <w:t xml:space="preserve">3201248.40 </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35631315.14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5</w:t>
            </w:r>
          </w:p>
        </w:tc>
        <w:tc>
          <w:tcPr>
            <w:tcW w:w="360" w:type="dxa"/>
          </w:tcPr>
          <w:p>
            <w:pPr>
              <w:spacing w:line="360" w:lineRule="exact"/>
              <w:jc w:val="center"/>
              <w:rPr>
                <w:rFonts w:ascii="Times New Roman" w:hAnsi="Times New Roman"/>
                <w:szCs w:val="21"/>
              </w:rPr>
            </w:pPr>
            <w:r>
              <w:rPr>
                <w:rFonts w:hint="eastAsia" w:ascii="Times New Roman" w:hAnsi="Times New Roman"/>
                <w:szCs w:val="21"/>
              </w:rPr>
              <w:t xml:space="preserve">3201548.40 </w:t>
            </w:r>
          </w:p>
        </w:tc>
        <w:tc>
          <w:tcPr>
            <w:tcW w:w="360" w:type="dxa"/>
          </w:tcPr>
          <w:p>
            <w:pPr>
              <w:spacing w:line="360" w:lineRule="exact"/>
              <w:jc w:val="center"/>
              <w:rPr>
                <w:rFonts w:ascii="Times New Roman" w:hAnsi="Times New Roman"/>
                <w:szCs w:val="21"/>
              </w:rPr>
            </w:pPr>
            <w:r>
              <w:rPr>
                <w:rFonts w:hint="eastAsia" w:ascii="Times New Roman" w:hAnsi="Times New Roman"/>
                <w:szCs w:val="21"/>
              </w:rPr>
              <w:t xml:space="preserve">35631021.14 </w:t>
            </w:r>
          </w:p>
        </w:tc>
      </w:tr>
    </w:tbl>
    <w:p>
      <w:pPr>
        <w:spacing w:line="360" w:lineRule="exact"/>
        <w:ind w:firstLine="464" w:firstLineChars="220"/>
        <w:rPr>
          <w:rFonts w:ascii="Times New Roman" w:hAnsi="Times New Roman"/>
          <w:szCs w:val="21"/>
        </w:rPr>
      </w:pPr>
      <w:r>
        <w:rPr>
          <w:rFonts w:ascii="Times New Roman" w:hAnsi="Times New Roman"/>
          <w:b/>
          <w:bCs/>
          <w:szCs w:val="21"/>
        </w:rPr>
        <w:t xml:space="preserve">二、出让人、有关机构联系方式 </w:t>
      </w:r>
    </w:p>
    <w:p>
      <w:pPr>
        <w:spacing w:line="360" w:lineRule="exact"/>
        <w:ind w:firstLine="420" w:firstLineChars="200"/>
        <w:rPr>
          <w:rFonts w:ascii="Times New Roman" w:hAnsi="Times New Roman"/>
          <w:szCs w:val="21"/>
        </w:rPr>
      </w:pPr>
      <w:r>
        <w:rPr>
          <w:rFonts w:ascii="Times New Roman" w:hAnsi="Times New Roman"/>
          <w:szCs w:val="21"/>
        </w:rPr>
        <w:t xml:space="preserve">（一）出让人及承办机构 </w:t>
      </w:r>
    </w:p>
    <w:p>
      <w:pPr>
        <w:spacing w:line="360" w:lineRule="exact"/>
        <w:ind w:firstLine="420" w:firstLineChars="200"/>
        <w:rPr>
          <w:rFonts w:asciiTheme="minorEastAsia" w:hAnsiTheme="minorEastAsia"/>
          <w:szCs w:val="21"/>
        </w:rPr>
      </w:pPr>
      <w:r>
        <w:rPr>
          <w:rFonts w:asciiTheme="minorEastAsia" w:hAnsiTheme="minorEastAsia"/>
          <w:szCs w:val="21"/>
        </w:rPr>
        <w:t>本次采矿权出让人为</w:t>
      </w:r>
      <w:r>
        <w:rPr>
          <w:rFonts w:hint="eastAsia" w:asciiTheme="minorEastAsia" w:hAnsiTheme="minorEastAsia"/>
          <w:szCs w:val="21"/>
        </w:rPr>
        <w:t>重庆市江津区规划和自然资源局</w:t>
      </w:r>
      <w:r>
        <w:rPr>
          <w:rFonts w:asciiTheme="minorEastAsia" w:hAnsiTheme="minorEastAsia"/>
          <w:szCs w:val="21"/>
        </w:rPr>
        <w:t>，采矿权出让承办机构为</w:t>
      </w:r>
      <w:r>
        <w:rPr>
          <w:rFonts w:hint="eastAsia" w:asciiTheme="minorEastAsia" w:hAnsiTheme="minorEastAsia"/>
          <w:szCs w:val="21"/>
        </w:rPr>
        <w:t>重庆市江津区津兴市场管理服务有限公司</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 xml:space="preserve">（二）出让人及有关机构联系方式 </w:t>
      </w:r>
    </w:p>
    <w:p>
      <w:pPr>
        <w:spacing w:line="360" w:lineRule="exact"/>
        <w:ind w:firstLine="420" w:firstLineChars="200"/>
        <w:rPr>
          <w:rFonts w:asciiTheme="minorEastAsia" w:hAnsiTheme="minorEastAsia"/>
          <w:szCs w:val="21"/>
        </w:rPr>
      </w:pPr>
      <w:r>
        <w:rPr>
          <w:rFonts w:ascii="Times New Roman" w:hAnsi="Times New Roman"/>
          <w:szCs w:val="21"/>
        </w:rPr>
        <w:t>1、</w:t>
      </w:r>
      <w:r>
        <w:rPr>
          <w:rFonts w:hint="eastAsia" w:asciiTheme="minorEastAsia" w:hAnsiTheme="minorEastAsia"/>
          <w:szCs w:val="21"/>
        </w:rPr>
        <w:t>重庆市江津区规划和自然资源局</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hint="eastAsia" w:cs="宋体" w:asciiTheme="minorEastAsia" w:hAnsiTheme="minorEastAsia"/>
          <w:szCs w:val="21"/>
        </w:rPr>
        <w:t>重庆市江津区鼎山街道办事处元帅大道36号</w:t>
      </w:r>
      <w:r>
        <w:rPr>
          <w:rFonts w:asciiTheme="minorEastAsia" w:hAnsiTheme="minorEastAsia"/>
          <w:szCs w:val="21"/>
        </w:rPr>
        <w:t>，联系人：</w:t>
      </w:r>
      <w:r>
        <w:rPr>
          <w:rFonts w:hint="eastAsia" w:cs="宋体" w:asciiTheme="minorEastAsia" w:hAnsiTheme="minorEastAsia"/>
          <w:szCs w:val="21"/>
        </w:rPr>
        <w:t>徐老师</w:t>
      </w:r>
      <w:r>
        <w:rPr>
          <w:rFonts w:asciiTheme="minorEastAsia" w:hAnsiTheme="minorEastAsia"/>
          <w:szCs w:val="21"/>
        </w:rPr>
        <w:t>，联系电话：</w:t>
      </w:r>
      <w:r>
        <w:rPr>
          <w:rFonts w:hint="eastAsia" w:asciiTheme="minorEastAsia" w:hAnsiTheme="minorEastAsia"/>
          <w:szCs w:val="21"/>
        </w:rPr>
        <w:t>47696219</w:t>
      </w:r>
    </w:p>
    <w:p>
      <w:pPr>
        <w:spacing w:line="360" w:lineRule="exact"/>
        <w:ind w:firstLine="420" w:firstLineChars="200"/>
        <w:rPr>
          <w:rFonts w:asciiTheme="minorEastAsia" w:hAnsiTheme="minorEastAsia"/>
          <w:szCs w:val="21"/>
        </w:rPr>
      </w:pPr>
      <w:r>
        <w:rPr>
          <w:rFonts w:asciiTheme="minorEastAsia" w:hAnsiTheme="minorEastAsia"/>
          <w:szCs w:val="21"/>
        </w:rPr>
        <w:t>2、</w:t>
      </w:r>
      <w:r>
        <w:rPr>
          <w:rFonts w:hint="eastAsia" w:asciiTheme="minorEastAsia" w:hAnsiTheme="minorEastAsia"/>
          <w:szCs w:val="21"/>
        </w:rPr>
        <w:t>重庆市江津区津兴市场管理服务有限公司</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hint="eastAsia" w:asciiTheme="minorEastAsia" w:hAnsiTheme="minorEastAsia"/>
          <w:szCs w:val="21"/>
        </w:rPr>
        <w:t>重庆市江津区滨江新城团结路与德泽路交叉口滨江商务大厦三楼(万达广场靠盛璟东方斜对面)</w:t>
      </w:r>
      <w:r>
        <w:rPr>
          <w:rFonts w:asciiTheme="minorEastAsia" w:hAnsiTheme="minorEastAsia"/>
          <w:szCs w:val="21"/>
        </w:rPr>
        <w:t>，联系人：</w:t>
      </w:r>
      <w:r>
        <w:rPr>
          <w:rFonts w:hint="eastAsia" w:asciiTheme="minorEastAsia" w:hAnsiTheme="minorEastAsia"/>
          <w:szCs w:val="21"/>
        </w:rPr>
        <w:t>李老师</w:t>
      </w:r>
      <w:r>
        <w:rPr>
          <w:rFonts w:asciiTheme="minorEastAsia" w:hAnsiTheme="minorEastAsia"/>
          <w:szCs w:val="21"/>
        </w:rPr>
        <w:t>，联系电话：</w:t>
      </w:r>
      <w:r>
        <w:rPr>
          <w:rFonts w:hint="eastAsia" w:asciiTheme="minorEastAsia" w:hAnsiTheme="minorEastAsia"/>
          <w:szCs w:val="21"/>
        </w:rPr>
        <w:t>13677643641</w:t>
      </w:r>
    </w:p>
    <w:p>
      <w:pPr>
        <w:spacing w:line="360" w:lineRule="exact"/>
        <w:ind w:firstLine="420" w:firstLineChars="200"/>
        <w:rPr>
          <w:rFonts w:ascii="Times New Roman" w:hAnsi="Times New Roman"/>
          <w:szCs w:val="21"/>
        </w:rPr>
      </w:pPr>
      <w:r>
        <w:rPr>
          <w:rFonts w:ascii="Times New Roman" w:hAnsi="Times New Roman"/>
          <w:szCs w:val="21"/>
        </w:rPr>
        <w:t>三、竞买申请人准入条件</w:t>
      </w:r>
    </w:p>
    <w:p>
      <w:pPr>
        <w:spacing w:line="360" w:lineRule="exact"/>
        <w:ind w:firstLine="420" w:firstLineChars="200"/>
        <w:rPr>
          <w:rFonts w:ascii="Times New Roman" w:hAnsi="Times New Roman"/>
          <w:szCs w:val="21"/>
        </w:rPr>
      </w:pPr>
      <w:r>
        <w:rPr>
          <w:rFonts w:ascii="Times New Roman" w:hAnsi="Times New Roman"/>
          <w:szCs w:val="21"/>
        </w:rPr>
        <w:t>（一）竞买申请人须为营利法人；</w:t>
      </w:r>
    </w:p>
    <w:p>
      <w:pPr>
        <w:spacing w:line="360" w:lineRule="exact"/>
        <w:ind w:firstLine="420" w:firstLineChars="200"/>
        <w:rPr>
          <w:rFonts w:ascii="Times New Roman" w:hAnsi="Times New Roman"/>
          <w:szCs w:val="21"/>
        </w:rPr>
      </w:pPr>
      <w:r>
        <w:rPr>
          <w:rFonts w:ascii="Times New Roman" w:hAnsi="Times New Roman"/>
          <w:szCs w:val="21"/>
        </w:rPr>
        <w:t>（二）竞买申请人属于以下情形之一的不得参与竞买：</w:t>
      </w:r>
    </w:p>
    <w:p>
      <w:pPr>
        <w:spacing w:line="360" w:lineRule="exact"/>
        <w:ind w:firstLine="630" w:firstLineChars="300"/>
        <w:rPr>
          <w:rFonts w:ascii="Times New Roman" w:hAnsi="Times New Roman"/>
          <w:szCs w:val="21"/>
        </w:rPr>
      </w:pPr>
      <w:r>
        <w:rPr>
          <w:rFonts w:hint="eastAsia" w:ascii="Times New Roman" w:hAnsi="Times New Roman"/>
          <w:szCs w:val="21"/>
        </w:rPr>
        <w:t>1、在自然资源部矿业权人勘查开采信息公示系统的“矿业权人异常名录”“矿业权人严重违法名单”内；</w:t>
      </w:r>
    </w:p>
    <w:p>
      <w:pPr>
        <w:spacing w:line="360" w:lineRule="exact"/>
        <w:ind w:firstLine="630" w:firstLineChars="300"/>
        <w:rPr>
          <w:rFonts w:ascii="Times New Roman" w:hAnsi="Times New Roman"/>
          <w:szCs w:val="21"/>
        </w:rPr>
      </w:pPr>
      <w:r>
        <w:rPr>
          <w:rFonts w:hint="eastAsia" w:ascii="Times New Roman" w:hAnsi="Times New Roman"/>
          <w:szCs w:val="21"/>
        </w:rPr>
        <w:t>2.通过“信用中国”查询，在自然资源部联合惩戒备忘录或重庆市信用惩戒严重失信主体“黑名单”内限制禁止参与采矿权出让的；</w:t>
      </w:r>
    </w:p>
    <w:p>
      <w:pPr>
        <w:spacing w:line="360" w:lineRule="exact"/>
        <w:ind w:firstLine="630" w:firstLineChars="300"/>
        <w:rPr>
          <w:rFonts w:ascii="Times New Roman" w:hAnsi="Times New Roman"/>
          <w:szCs w:val="21"/>
        </w:rPr>
      </w:pPr>
      <w:r>
        <w:rPr>
          <w:rFonts w:hint="eastAsia" w:ascii="Times New Roman" w:hAnsi="Times New Roman"/>
          <w:szCs w:val="21"/>
        </w:rPr>
        <w:t>3.被吊销采矿许可证之日起2年内。</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四、报名申请</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（一）时间、地点、联系人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1、报名时间：</w:t>
      </w:r>
      <w:r>
        <w:rPr>
          <w:rFonts w:hint="eastAsia" w:ascii="Times New Roman" w:hAnsi="Times New Roman" w:cs="Times New Roman"/>
          <w:szCs w:val="21"/>
        </w:rPr>
        <w:t>2022年09月28日09时30分</w:t>
      </w:r>
      <w:r>
        <w:rPr>
          <w:rFonts w:ascii="Times New Roman" w:hAnsi="Times New Roman" w:cs="Times New Roman"/>
          <w:szCs w:val="21"/>
        </w:rPr>
        <w:t>-</w:t>
      </w:r>
      <w:r>
        <w:rPr>
          <w:rFonts w:hint="eastAsia" w:ascii="Times New Roman" w:hAnsi="Times New Roman" w:cs="Times New Roman"/>
          <w:szCs w:val="21"/>
        </w:rPr>
        <w:t>2022年10月28日12时</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2、报名地点：</w:t>
      </w:r>
      <w:r>
        <w:rPr>
          <w:rFonts w:hint="eastAsia" w:ascii="Times New Roman" w:hAnsi="Times New Roman" w:cs="Times New Roman"/>
          <w:szCs w:val="21"/>
        </w:rPr>
        <w:t>江津区津兴市场管理服务有限公司采购与产权交易部 (重庆市江津区滨江新城团结路与德泽路交叉口滨江商务大厦三楼  万达广场靠盛璟东方斜对面)</w:t>
      </w:r>
      <w:r>
        <w:rPr>
          <w:rFonts w:ascii="Times New Roman" w:hAnsi="Times New Roman" w:cs="Times New Roman"/>
          <w:szCs w:val="21"/>
        </w:rPr>
        <w:t>。</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3、联系人：</w:t>
      </w:r>
      <w:r>
        <w:rPr>
          <w:rFonts w:hint="eastAsia" w:ascii="Times New Roman" w:hAnsi="Times New Roman" w:cs="Times New Roman"/>
          <w:szCs w:val="21"/>
        </w:rPr>
        <w:t>李老师</w:t>
      </w:r>
      <w:r>
        <w:rPr>
          <w:rFonts w:ascii="Times New Roman" w:hAnsi="Times New Roman" w:cs="Times New Roman"/>
          <w:szCs w:val="21"/>
        </w:rPr>
        <w:t>，联系电话：</w:t>
      </w:r>
      <w:r>
        <w:rPr>
          <w:rFonts w:hint="eastAsia" w:ascii="Times New Roman" w:hAnsi="Times New Roman" w:cs="Times New Roman"/>
          <w:szCs w:val="21"/>
        </w:rPr>
        <w:t>13677643641</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（二）报名申请资料</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申请人应持下列相应文件提出竞买、竞投申请。</w:t>
      </w:r>
      <w:r>
        <w:rPr>
          <w:rFonts w:hint="eastAsia" w:ascii="Times New Roman" w:hAnsi="Times New Roman" w:cs="Times New Roman"/>
          <w:szCs w:val="21"/>
        </w:rPr>
        <w:t>重庆市江津区津兴市场管理服务有限公司</w:t>
      </w:r>
      <w:r>
        <w:rPr>
          <w:rFonts w:ascii="Times New Roman" w:hAnsi="Times New Roman" w:cs="Times New Roman"/>
          <w:szCs w:val="21"/>
        </w:rPr>
        <w:t>不接受传真件、邮件、电子邮件等竞买申请，提交复印件的应于报名时提交原件供核对：</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1、《竞买申请书》（原件1份）（附件一）；</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2、《竞买承诺书》（原件1份）（附件二）；</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3、单位工商营业执照副本（复印件1份）；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w:t>
      </w:r>
      <w:r>
        <w:rPr>
          <w:rFonts w:hint="eastAsia" w:ascii="Times New Roman" w:hAnsi="Times New Roman" w:cs="Times New Roman"/>
          <w:szCs w:val="21"/>
        </w:rPr>
        <w:t>、法定代表人的有效身份证明（复印件1份）；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w:t>
      </w:r>
      <w:r>
        <w:rPr>
          <w:rFonts w:hint="eastAsia" w:ascii="Times New Roman" w:hAnsi="Times New Roman" w:cs="Times New Roman"/>
          <w:szCs w:val="21"/>
        </w:rPr>
        <w:t>、申请人委托他人办理的，应提交委托代理人的授权委托书（附件三）及受托人的有效身份证明（复印件1份）</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6、竞买申请人签署意见的《</w:t>
      </w:r>
      <w:r>
        <w:rPr>
          <w:rFonts w:hint="eastAsia" w:ascii="Times New Roman" w:hAnsi="Times New Roman" w:cs="Times New Roman"/>
          <w:szCs w:val="21"/>
        </w:rPr>
        <w:t>采矿</w:t>
      </w:r>
      <w:r>
        <w:rPr>
          <w:rFonts w:ascii="Times New Roman" w:hAnsi="Times New Roman" w:cs="Times New Roman"/>
          <w:szCs w:val="21"/>
        </w:rPr>
        <w:t>权竞买须知》（原件1份）。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（三）保证金的缴纳及相关规定</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1、保证金的缴纳：该宗</w:t>
      </w:r>
      <w:r>
        <w:rPr>
          <w:rFonts w:hint="eastAsia" w:ascii="Times New Roman" w:hAnsi="Times New Roman" w:cs="Times New Roman"/>
          <w:szCs w:val="21"/>
        </w:rPr>
        <w:t>采</w:t>
      </w:r>
      <w:r>
        <w:rPr>
          <w:rFonts w:ascii="Times New Roman" w:hAnsi="Times New Roman" w:cs="Times New Roman"/>
          <w:szCs w:val="21"/>
        </w:rPr>
        <w:t>矿权保证金为</w:t>
      </w:r>
      <w:r>
        <w:rPr>
          <w:rFonts w:hint="eastAsia" w:ascii="宋体" w:hAnsi="宋体" w:eastAsia="宋体" w:cs="宋体"/>
          <w:szCs w:val="21"/>
        </w:rPr>
        <w:t>768</w:t>
      </w:r>
      <w:r>
        <w:rPr>
          <w:rFonts w:ascii="Times New Roman" w:hAnsi="Times New Roman" w:cs="Times New Roman"/>
          <w:szCs w:val="21"/>
        </w:rPr>
        <w:t>万元（大写：</w:t>
      </w:r>
      <w:r>
        <w:rPr>
          <w:rFonts w:hint="eastAsia" w:ascii="宋体" w:hAnsi="宋体" w:eastAsia="宋体" w:cs="宋体"/>
          <w:szCs w:val="21"/>
        </w:rPr>
        <w:t>柒佰陆拾捌万元整</w:t>
      </w:r>
      <w:r>
        <w:rPr>
          <w:rFonts w:ascii="Times New Roman" w:hAnsi="Times New Roman" w:cs="Times New Roman"/>
          <w:szCs w:val="21"/>
        </w:rPr>
        <w:t>），竞买申请人应于报名时间截止之前向</w:t>
      </w:r>
      <w:r>
        <w:rPr>
          <w:rFonts w:hint="eastAsia" w:ascii="Times New Roman" w:hAnsi="Times New Roman" w:cs="Times New Roman"/>
          <w:szCs w:val="21"/>
        </w:rPr>
        <w:t>重庆市江津区津兴市场管理服务有限公司</w:t>
      </w:r>
      <w:r>
        <w:rPr>
          <w:rFonts w:ascii="Times New Roman" w:hAnsi="Times New Roman" w:cs="Times New Roman"/>
          <w:szCs w:val="21"/>
        </w:rPr>
        <w:t>缴纳竞买保证金。竞买保证金到账截止时间为：</w:t>
      </w:r>
      <w:r>
        <w:rPr>
          <w:rFonts w:hint="eastAsia" w:ascii="Times New Roman" w:hAnsi="Times New Roman" w:cs="Times New Roman"/>
          <w:szCs w:val="21"/>
        </w:rPr>
        <w:t>2022年10月28日12时</w:t>
      </w:r>
      <w:r>
        <w:rPr>
          <w:rFonts w:ascii="Times New Roman" w:hAnsi="Times New Roman" w:cs="Times New Roman"/>
          <w:szCs w:val="21"/>
        </w:rPr>
        <w:t>。缴款时间以银行确认的到帐时间为准，保证金未按时到帐的，不予受理报名。</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保证金户名：重庆市江津区津兴市场管理服务有限公司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开户行：中国工商银行股份有限公司重庆几江支行 </w:t>
      </w:r>
    </w:p>
    <w:p>
      <w:pPr>
        <w:spacing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帐号：3100092029200263476。</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保证金户名：重庆市江津区津兴市场管理服务有限公司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开户行：中国农业银行股份有限公司重庆江津支行 </w:t>
      </w:r>
    </w:p>
    <w:p>
      <w:pPr>
        <w:spacing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帐号：31140101040018712。</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保证金户名：重庆市江津区津兴市场管理服务有限公司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开户行：中国银行股份有限公司重庆江津支行 </w:t>
      </w:r>
    </w:p>
    <w:p>
      <w:pPr>
        <w:spacing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帐号：110270553521。</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w:t>
      </w:r>
      <w:r>
        <w:rPr>
          <w:rFonts w:hint="eastAsia" w:ascii="Times New Roman" w:hAnsi="Times New Roman" w:cs="Times New Roman"/>
          <w:szCs w:val="21"/>
        </w:rPr>
        <w:t>如成功竞得，已缴纳的保证金可抵作采矿权出让收益，在出让合同签订后由竞得人向矿产资源所在地的税务部门申报，竞买保证金账户管理单位在规定期限内代竞得人向税务部门缴纳相关费款；如未竞得，可在成交日之后1个工作日内在竞买保证金账户管理单位办理退还手续，不计利息。</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五、</w:t>
      </w:r>
      <w:r>
        <w:rPr>
          <w:rFonts w:hint="eastAsia" w:ascii="Times New Roman" w:hAnsi="Times New Roman" w:cs="Times New Roman"/>
          <w:szCs w:val="21"/>
        </w:rPr>
        <w:t>采</w:t>
      </w:r>
      <w:r>
        <w:rPr>
          <w:rFonts w:ascii="Times New Roman" w:hAnsi="Times New Roman" w:cs="Times New Roman"/>
          <w:szCs w:val="21"/>
        </w:rPr>
        <w:t>矿权出让方式及时间</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采</w:t>
      </w:r>
      <w:r>
        <w:rPr>
          <w:rFonts w:ascii="Times New Roman" w:hAnsi="Times New Roman" w:cs="Times New Roman"/>
          <w:szCs w:val="21"/>
        </w:rPr>
        <w:t>矿权出让方式根据报名情况确定，竞买申请人有2家以上（含2家），采用拍卖方式，起拍价在公告起始价的基础上上浮5‰-10‰，报价以增价方式进行，每次加价幅度为</w:t>
      </w:r>
      <w:r>
        <w:rPr>
          <w:rFonts w:hint="eastAsia" w:ascii="宋体" w:hAnsi="宋体" w:eastAsia="宋体" w:cs="宋体"/>
          <w:szCs w:val="21"/>
        </w:rPr>
        <w:t>10万</w:t>
      </w:r>
      <w:r>
        <w:rPr>
          <w:rFonts w:ascii="Times New Roman" w:hAnsi="Times New Roman" w:cs="Times New Roman"/>
          <w:szCs w:val="21"/>
        </w:rPr>
        <w:t>元。拍卖时间为</w:t>
      </w:r>
      <w:r>
        <w:rPr>
          <w:rFonts w:hint="eastAsia" w:ascii="Times New Roman" w:hAnsi="Times New Roman" w:cs="Times New Roman"/>
          <w:szCs w:val="21"/>
        </w:rPr>
        <w:t>​​​</w:t>
      </w:r>
      <w:r>
        <w:rPr>
          <w:rFonts w:ascii="Times New Roman" w:hAnsi="Times New Roman" w:cs="Times New Roman"/>
          <w:szCs w:val="21"/>
        </w:rPr>
        <w:t>（如有特殊情况则另行通知），请竞买申请人做好相关准备，竞买申请人只有1家的，采用挂牌方式出让。</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szCs w:val="21"/>
        </w:rPr>
        <w:t>拍卖、挂牌程序及竞得方式按国家及重庆市有关规定执行。如在拍卖、挂牌程</w:t>
      </w:r>
      <w:r>
        <w:rPr>
          <w:rFonts w:ascii="Times New Roman" w:hAnsi="Times New Roman" w:cs="Times New Roman"/>
          <w:color w:val="222222"/>
          <w:szCs w:val="21"/>
        </w:rPr>
        <w:t>序中，本采矿权因监管部门要求需终止交易行为的，在告知竞买申请人后，退还采矿权竞买申请人已交纳的竞买保证金，不计利息。</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 xml:space="preserve">六、成交确认 </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挂牌、拍卖交易结束后竞得人与</w:t>
      </w:r>
      <w:r>
        <w:rPr>
          <w:rFonts w:hint="eastAsia" w:ascii="Times New Roman" w:hAnsi="Times New Roman" w:cs="Times New Roman"/>
          <w:szCs w:val="21"/>
        </w:rPr>
        <w:t>重庆市江津区津兴市场管理服务有限公司</w:t>
      </w:r>
      <w:r>
        <w:rPr>
          <w:rFonts w:ascii="Times New Roman" w:hAnsi="Times New Roman" w:cs="Times New Roman"/>
          <w:szCs w:val="21"/>
        </w:rPr>
        <w:t>现场签订《采矿权出让成交确认书》。</w:t>
      </w:r>
    </w:p>
    <w:p>
      <w:pPr>
        <w:spacing w:line="360" w:lineRule="exact"/>
        <w:ind w:firstLine="420" w:firstLineChars="200"/>
        <w:rPr>
          <w:rFonts w:ascii="Times New Roman" w:hAnsi="Times New Roman" w:cs="Times New Roman"/>
        </w:rPr>
      </w:pPr>
      <w:r>
        <w:rPr>
          <w:rFonts w:ascii="Times New Roman" w:hAnsi="Times New Roman" w:cs="Times New Roman"/>
          <w:color w:val="222222"/>
          <w:szCs w:val="21"/>
        </w:rPr>
        <w:t>七、</w:t>
      </w:r>
      <w:r>
        <w:rPr>
          <w:rFonts w:ascii="Times New Roman" w:hAnsi="Times New Roman" w:cs="Times New Roman"/>
        </w:rPr>
        <w:t>采矿权出让收益缴纳</w:t>
      </w:r>
    </w:p>
    <w:p>
      <w:pPr>
        <w:spacing w:line="360" w:lineRule="exact"/>
        <w:ind w:firstLine="420" w:firstLineChars="200"/>
        <w:rPr>
          <w:rFonts w:ascii="Times New Roman" w:hAnsi="Times New Roman" w:eastAsia="宋体" w:cs="Times New Roman"/>
          <w:szCs w:val="21"/>
        </w:rPr>
      </w:pPr>
      <w:r>
        <w:rPr>
          <w:rFonts w:hint="eastAsia" w:ascii="Times New Roman" w:hAnsi="Times New Roman" w:cs="Times New Roman"/>
          <w:szCs w:val="21"/>
        </w:rPr>
        <w:t>采矿权出让收益总价款的50%为首期款，剩余50%采矿权出让收益平均分5期，第二年起一年一期前5年内完清。</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八</w:t>
      </w:r>
      <w:r>
        <w:rPr>
          <w:rFonts w:ascii="Times New Roman" w:hAnsi="Times New Roman" w:cs="Times New Roman"/>
          <w:color w:val="222222"/>
          <w:szCs w:val="21"/>
        </w:rPr>
        <w:t>、交易中止或终止</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有下列情形之一的，我中心将发布中止或者终止交易公告，并中止或者终止交易活动：</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（一）出让人提出</w:t>
      </w:r>
      <w:r>
        <w:rPr>
          <w:rFonts w:ascii="Times New Roman" w:hAnsi="Times New Roman" w:cs="Times New Roman"/>
          <w:color w:val="222222"/>
          <w:szCs w:val="21"/>
        </w:rPr>
        <w:t>中止或者终止交易</w:t>
      </w:r>
      <w:r>
        <w:rPr>
          <w:rFonts w:hint="eastAsia" w:ascii="Times New Roman" w:hAnsi="Times New Roman" w:cs="Times New Roman"/>
          <w:color w:val="222222"/>
          <w:szCs w:val="21"/>
        </w:rPr>
        <w:t>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二</w:t>
      </w:r>
      <w:r>
        <w:rPr>
          <w:rFonts w:ascii="Times New Roman" w:hAnsi="Times New Roman" w:cs="Times New Roman"/>
          <w:color w:val="222222"/>
          <w:szCs w:val="21"/>
        </w:rPr>
        <w:t>）司法机关、监察机关依法要求中止或者终止交易活动的；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三</w:t>
      </w:r>
      <w:r>
        <w:rPr>
          <w:rFonts w:ascii="Times New Roman" w:hAnsi="Times New Roman" w:cs="Times New Roman"/>
          <w:color w:val="222222"/>
          <w:szCs w:val="21"/>
        </w:rPr>
        <w:t>）因相关政策、采矿权规划条件等发生变化，对采矿权使用权有重大影响的；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四</w:t>
      </w:r>
      <w:r>
        <w:rPr>
          <w:rFonts w:ascii="Times New Roman" w:hAnsi="Times New Roman" w:cs="Times New Roman"/>
          <w:color w:val="222222"/>
          <w:szCs w:val="21"/>
        </w:rPr>
        <w:t>）依法应当中止或者终止交易活动的其他情形。</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九</w:t>
      </w:r>
      <w:r>
        <w:rPr>
          <w:rFonts w:ascii="Times New Roman" w:hAnsi="Times New Roman" w:cs="Times New Roman"/>
          <w:color w:val="222222"/>
          <w:szCs w:val="21"/>
        </w:rPr>
        <w:t>、违约责任</w:t>
      </w:r>
    </w:p>
    <w:p>
      <w:pPr>
        <w:spacing w:line="360" w:lineRule="exact"/>
        <w:ind w:firstLine="420" w:firstLineChars="200"/>
        <w:rPr>
          <w:rFonts w:ascii="Times New Roman" w:hAnsi="Times New Roman" w:cs="Times New Roman"/>
          <w:szCs w:val="21"/>
        </w:rPr>
      </w:pPr>
      <w:r>
        <w:rPr>
          <w:rFonts w:ascii="Times New Roman" w:hAnsi="Times New Roman" w:cs="Times New Roman"/>
          <w:color w:val="222222"/>
          <w:szCs w:val="21"/>
        </w:rPr>
        <w:t>（一）在竞买过程中有以下情形的，应承担违约责任，即无条件放弃参与竞买的采矿权已交纳的保证金，如该宗采矿权在以后的公开交易后价格低于本次成交价格，差额部份由违</w:t>
      </w:r>
      <w:r>
        <w:rPr>
          <w:rFonts w:ascii="Times New Roman" w:hAnsi="Times New Roman" w:cs="Times New Roman"/>
          <w:szCs w:val="21"/>
        </w:rPr>
        <w:t>约责任人赔偿，其行为将被列入失信惩戒备忘录。</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1、竞得人拒签或未按本《采矿权竞买须知》要求在规定的时间内签订《采矿权出让成交确认书》的；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2、竞买申请人违反法律法规，采取弄虚作假或其他不正当手段扰乱正常交易秩序或骗取交易结果的；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3、提供虚假文件或隐瞒事实，骗取竞得资格的；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4、竞买申请人或竞得人有其他违背法律法规、《竞买须知》、《成交确认书》的规定的行为。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5、竞得人未按本《采矿权竞买须知》、《采矿权出让成交确认书》的要求支付采矿权出让收益、其他补偿费用；</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竞得人须按照出让公告、须知要求在取得成交确认书后的15个工作日内，持成交确认书及相关资料向出让方申请签订《重庆市采矿权出让合同》（详见附件）。若逾期未提交签订合同申请的，则视为竞得人自动放弃竞得资格，出让方不予退还保证金并有权另行出让该宗采矿权。申请资料如下：</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1、采矿权出让合同签订申请书（原件1份）；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2、采矿权成交确认书（复印件1份）；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4、法人身份证明（复印件1份）；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5、法人不能亲自办理的应提供《授权委托书》（原件1份）；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6、受托人身份证明（复印件1份）；</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7、按照成交结果完善的《重庆市采矿权出让合同》签章件6份（原件）。</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（三）竞买申请人或竞得人有充分理由证明其违约是因不可抗力造成的，可部分或全部免除其违约责任。</w:t>
      </w:r>
    </w:p>
    <w:p>
      <w:pPr>
        <w:spacing w:line="360" w:lineRule="exact"/>
        <w:ind w:firstLine="420" w:firstLineChars="200"/>
        <w:rPr>
          <w:rFonts w:ascii="Times New Roman" w:hAnsi="Times New Roman" w:cs="Times New Roman"/>
          <w:color w:val="222222"/>
          <w:szCs w:val="21"/>
        </w:rPr>
      </w:pPr>
      <w:r>
        <w:t>十</w:t>
      </w:r>
      <w:r>
        <w:rPr>
          <w:rFonts w:ascii="Times New Roman" w:hAnsi="Times New Roman" w:cs="Times New Roman"/>
          <w:color w:val="222222"/>
          <w:szCs w:val="21"/>
        </w:rPr>
        <w:t>、注意事项</w:t>
      </w:r>
    </w:p>
    <w:p>
      <w:pPr>
        <w:spacing w:line="360" w:lineRule="exact"/>
        <w:ind w:firstLine="420"/>
        <w:rPr>
          <w:rFonts w:ascii="Times New Roman" w:hAnsi="Times New Roman" w:cs="Times New Roman"/>
          <w:color w:val="222222"/>
          <w:szCs w:val="21"/>
        </w:rPr>
      </w:pPr>
      <w:r>
        <w:rPr>
          <w:rFonts w:ascii="Times New Roman" w:hAnsi="Times New Roman" w:cs="Times New Roman"/>
          <w:color w:val="222222"/>
          <w:szCs w:val="21"/>
        </w:rPr>
        <w:t>（一）竞买申请人应全面仔细阅读《采矿权出让竞买须知》</w:t>
      </w:r>
      <w:r>
        <w:rPr>
          <w:rFonts w:hint="eastAsia" w:ascii="Times New Roman" w:hAnsi="Times New Roman" w:cs="Times New Roman"/>
          <w:color w:val="222222"/>
          <w:szCs w:val="21"/>
        </w:rPr>
        <w:t>，</w:t>
      </w:r>
      <w:r>
        <w:rPr>
          <w:rFonts w:ascii="Times New Roman" w:hAnsi="Times New Roman" w:cs="Times New Roman"/>
          <w:color w:val="222222"/>
          <w:szCs w:val="21"/>
        </w:rPr>
        <w:t>了解采矿权详细情况和要求，对矿区范围</w:t>
      </w:r>
      <w:r>
        <w:rPr>
          <w:rFonts w:ascii="Times New Roman" w:hAnsi="Times New Roman" w:cs="Times New Roman"/>
          <w:szCs w:val="21"/>
        </w:rPr>
        <w:t>及周边民房、土地、山林权、交通运输、社群关系等影响因素</w:t>
      </w:r>
      <w:r>
        <w:rPr>
          <w:rFonts w:ascii="Times New Roman" w:hAnsi="Times New Roman" w:cs="Times New Roman"/>
        </w:rPr>
        <w:t>进行必要的现场踏勘；</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二）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（三）有关该宗采矿权的用地、用水、用电、公路、环保、基础设施等工作，由竞得人自行负责解决并依法完善相关手续；</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（四）若竞得人竞得采矿权后，在办理采矿权登记所需要件时进行安全、环境评价等认定为不适宜开采的，按不成交处理；</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（五）参加竞买的人员，应遵守竞买的纪律，服从工作人员指挥；</w:t>
      </w:r>
    </w:p>
    <w:p>
      <w:pPr>
        <w:spacing w:line="360" w:lineRule="exact"/>
        <w:ind w:firstLine="420" w:firstLineChars="200"/>
        <w:rPr>
          <w:rFonts w:ascii="Times New Roman" w:hAnsi="Times New Roman" w:eastAsia="宋体" w:cs="Times New Roman"/>
          <w:color w:val="222222"/>
          <w:szCs w:val="21"/>
        </w:rPr>
      </w:pPr>
      <w:r>
        <w:rPr>
          <w:rFonts w:hint="eastAsia" w:ascii="Times New Roman" w:hAnsi="Times New Roman" w:cs="Times New Roman"/>
          <w:color w:val="222222"/>
          <w:szCs w:val="21"/>
        </w:rPr>
        <w:t>（六）竞买申请人须认真详读竞买须知，现场踏勘并详细了解出让范围，充分考虑影响资源开采的外部条件以及资产评估和其他权益补偿情况。提交竞买申请即视为竟买人对采矿权现状、公告须知、采矿权出让合同内容、资产评估及其他权益补偿额已完全认可并自愿承担所有风险。</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hint="eastAsia" w:ascii="Times New Roman" w:hAnsi="Times New Roman" w:cs="Times New Roman"/>
          <w:color w:val="222222"/>
          <w:szCs w:val="21"/>
        </w:rPr>
        <w:t>一</w:t>
      </w:r>
      <w:r>
        <w:rPr>
          <w:rFonts w:ascii="Times New Roman" w:hAnsi="Times New Roman" w:cs="Times New Roman"/>
          <w:color w:val="222222"/>
          <w:szCs w:val="21"/>
        </w:rPr>
        <w:t>、其他重要提示及要求</w:t>
      </w:r>
    </w:p>
    <w:p>
      <w:pPr>
        <w:spacing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 xml:space="preserve">（一）本次公开出让采矿权报名截止后，江津区津兴市场管理服务有限公司将会同重庆市江津区规划和自然资源局对竞买人的竞买资格进行联合审查，审查时间为：2022年10月28日18:00以前；资格审查结束后由江津区津兴市场管理服务有限公司通知竞买人领取《采矿权竞买资格审查通知书》。 </w:t>
      </w:r>
    </w:p>
    <w:p>
      <w:pPr>
        <w:spacing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 xml:space="preserve">（二）本次公告采矿权公开出让的重庆市江津区两河口矿业有限公司建筑用砂岩矿采矿权，是利用原生产矿山重庆市江津区两河口矿业有限公司扩大矿区增划资源。竞买申请人须认真详读竞买须知，现场踏勘并详细了解出让范围及周边土地、山权、林权、道路、地下管线、水电供给、废渣占地堆放、地表附着物、社群关系等各类影响开采的外部条件以及资产评估和其它权益补偿情况。提交竞买申请即视为竞买人对采矿权现状、公告须知、采矿权出让合同内容、资产评估及其它权益补偿已完全认可并自愿承担所有风险。 </w:t>
      </w:r>
    </w:p>
    <w:p>
      <w:pPr>
        <w:spacing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 xml:space="preserve">（三）根据四川省地平线矿产资源咨询有限责任公司于2021年11月5提交的《重庆市江津区两河口矿业有限公司采矿权评估报告》川地评字（2021）第35号,矿区范围内参与评估的资源量1165.54万吨，属国家征收采矿权出让收益的资源量为1156.27万吨，（其中原矿区范围内保有控制资源量9.27万吨，新增控制资源量1156.27万吨；可利用资源量730.75万吨，边坡设计损失量434.79万吨，区内资源量采矿回采率按95%计算，可采资源量约694.21万吨。生产规模55.00万吨/年，矿山服务年限12.62年（12年8个月），评估计算年限12.62年）。该矿区范围内原剩余资源储量9.27万吨未纳入本次公开出让，成交确认后，原矿权人剩余资源储量由竞得人于《重庆市采矿权出让合同》签订前，按川地评字（2021）第35号（评估基准日2021年9月30日）中的采矿权出让收益基准价为9.27万吨*2.63元/吨＝24.38万元，支付给原采矿权人指定账户（收款单位：重庆市江津区两河口矿业有限公司，开户行：重庆三峡银行股份有限公司江津支行，账号：0164014210004075），开采权利归新竞得人所有。 </w:t>
      </w:r>
    </w:p>
    <w:p>
      <w:pPr>
        <w:spacing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 xml:space="preserve">（四）竞买人竞得本矿权并获得采矿许可证后，还需取得用地、安全、环保、林业、水利、工商等部门许可后方可开采矿产资源。竞得人须自行或委托编制矿山地质环境恢复治理和土地复垦方案并通过审查，同时按照《矿山地质环境保护规定》等相关规定履行矿山地质环境保护相关义务，同时按照应急管理等部门相关要求规范开采，包括但不限于与相邻矿山签订安全互保协议。 </w:t>
      </w:r>
    </w:p>
    <w:p>
      <w:pPr>
        <w:spacing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 xml:space="preserve">（五）原采矿权人的机器设备、房屋建筑、构筑物及其他辅助设施、土地租赁费用等固定资产投入评估价值详见《重庆市江津区两河口矿业有限公司拟转让涉及采矿相关的资产市场价值评估项目评估报告》宏岭评资（2022）第039号（评估基准日为2022年7月21日），其固定资产投入等其他费用2068.72万元（其中：固定资产价值评估2065.72万元，《固定资产价值报告书》编制费用3万元）。由竞买申请人自行进行必要的现场踏勘，竞买人报名参加竞买视为对评估报告内容的全部认可。竞买人竞得本矿权，须于取得成交确认书后5日内与原采矿权人进行实物交接并签字（交接内容为评估清单涵盖的所有资产），10日内由竞得人一次性将2068.72万元（资产评估值100%）直接支付给原矿业权人指定账户（收款单位：重庆市江津区两河口矿业有限公司，开户行：重庆三峡银行股份有限公司江津支行，账号：0164014210004075），相关税费双方依法依规自行承担。 </w:t>
      </w:r>
    </w:p>
    <w:p>
      <w:pPr>
        <w:spacing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 xml:space="preserve">（六）竞得人逾期未缴纳相关费用的，视为竞得人自动放弃采矿权，不退还竞买保证金。原采矿权人未按时移交资产、未按要求注销原采矿权，江津区规划自然资源局不再延续该采矿权，同时原采矿权人承担相应的经济责任。 </w:t>
      </w:r>
    </w:p>
    <w:p>
      <w:pPr>
        <w:spacing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 xml:space="preserve">（七）若本次公开出让采取拍卖方式，产生的拍卖服务费用1万元、相关税费由竞得人自行承担。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（八）本宗采矿权《出让技术报告》《矿业权评估报告》可凭报名相关凭证到江津区规划和自然资源局查阅。</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hint="eastAsia" w:ascii="Times New Roman" w:hAnsi="Times New Roman" w:cs="Times New Roman"/>
          <w:color w:val="222222"/>
          <w:szCs w:val="21"/>
        </w:rPr>
        <w:t>二</w:t>
      </w:r>
      <w:r>
        <w:rPr>
          <w:rFonts w:ascii="Times New Roman" w:hAnsi="Times New Roman" w:cs="Times New Roman"/>
          <w:color w:val="222222"/>
          <w:szCs w:val="21"/>
        </w:rPr>
        <w:t>、提出异议的方式与途径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对本次出让的采矿权存有异议的，应在公示期截止前以书面方式向</w:t>
      </w:r>
      <w:r>
        <w:rPr>
          <w:rFonts w:hint="eastAsia" w:ascii="Times New Roman" w:hAnsi="Times New Roman" w:cs="Times New Roman"/>
          <w:color w:val="222222"/>
          <w:szCs w:val="21"/>
        </w:rPr>
        <w:t>重庆市江津区规划和自然资源局</w:t>
      </w:r>
      <w:r>
        <w:rPr>
          <w:rFonts w:ascii="Times New Roman" w:hAnsi="Times New Roman" w:cs="Times New Roman"/>
          <w:color w:val="222222"/>
          <w:szCs w:val="21"/>
        </w:rPr>
        <w:t>提出；对出让交易程序存有异议的，应在公示期截止前以书面方式向</w:t>
      </w:r>
      <w:r>
        <w:rPr>
          <w:rFonts w:hint="eastAsia" w:ascii="Times New Roman" w:hAnsi="Times New Roman" w:cs="Times New Roman"/>
          <w:color w:val="222222"/>
          <w:szCs w:val="21"/>
        </w:rPr>
        <w:t>重庆市江津区津兴市场管理服务有限公司</w:t>
      </w:r>
      <w:r>
        <w:rPr>
          <w:rFonts w:ascii="Times New Roman" w:hAnsi="Times New Roman" w:cs="Times New Roman"/>
          <w:color w:val="222222"/>
          <w:szCs w:val="21"/>
        </w:rPr>
        <w:t>提出。</w:t>
      </w:r>
      <w:r>
        <w:rPr>
          <w:rFonts w:ascii="Times New Roman" w:hAnsi="Times New Roman" w:cs="Times New Roman"/>
          <w:sz w:val="24"/>
        </w:rPr>
        <w:t>根据所提异议的具体情况，按照《矿业权交易规则》等相关规定进行妥善处置。</w:t>
      </w:r>
    </w:p>
    <w:tbl>
      <w:tblPr>
        <w:tblStyle w:val="4"/>
        <w:tblpPr w:leftFromText="180" w:rightFromText="180" w:vertAnchor="text" w:horzAnchor="margin" w:tblpY="426"/>
        <w:tblOverlap w:val="never"/>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46" w:hRule="exact"/>
        </w:trPr>
        <w:tc>
          <w:tcPr>
            <w:tcW w:w="9639" w:type="dxa"/>
          </w:tcPr>
          <w:p>
            <w:pPr>
              <w:spacing w:line="600" w:lineRule="exact"/>
              <w:rPr>
                <w:rFonts w:ascii="Times New Roman" w:hAnsi="Times New Roman" w:cs="Times New Roman"/>
                <w:sz w:val="20"/>
                <w:szCs w:val="20"/>
              </w:rPr>
            </w:pPr>
            <w:r>
              <w:rPr>
                <w:rFonts w:ascii="Times New Roman" w:hAnsi="Times New Roman" w:cs="Times New Roman"/>
                <w:sz w:val="20"/>
                <w:szCs w:val="20"/>
              </w:rPr>
              <w:t>竞买人声明：</w:t>
            </w: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竞买人（盖章）：</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法人代表或授权代理人（签名）：</w:t>
            </w:r>
          </w:p>
          <w:p>
            <w:pPr>
              <w:spacing w:line="240" w:lineRule="atLeast"/>
              <w:jc w:val="center"/>
              <w:rPr>
                <w:rFonts w:ascii="Times New Roman" w:hAnsi="Times New Roman" w:cs="Times New Roman"/>
                <w:sz w:val="20"/>
                <w:szCs w:val="20"/>
              </w:rPr>
            </w:pPr>
          </w:p>
          <w:p>
            <w:pPr>
              <w:spacing w:line="240" w:lineRule="atLeast"/>
              <w:jc w:val="center"/>
              <w:rPr>
                <w:rFonts w:ascii="Times New Roman" w:hAnsi="Times New Roman" w:cs="Times New Roman"/>
                <w:sz w:val="20"/>
                <w:szCs w:val="20"/>
              </w:rPr>
            </w:pPr>
          </w:p>
          <w:p>
            <w:pPr>
              <w:wordWrap w:val="0"/>
              <w:spacing w:line="400" w:lineRule="exact"/>
              <w:ind w:right="525" w:rightChars="250"/>
              <w:jc w:val="right"/>
              <w:rPr>
                <w:rFonts w:ascii="Times New Roman" w:hAnsi="Times New Roman" w:cs="Times New Roman"/>
                <w:sz w:val="20"/>
                <w:szCs w:val="20"/>
              </w:rPr>
            </w:pPr>
            <w:r>
              <w:rPr>
                <w:rFonts w:ascii="Times New Roman" w:hAnsi="Times New Roman" w:cs="Times New Roman"/>
                <w:sz w:val="20"/>
                <w:szCs w:val="20"/>
              </w:rPr>
              <w:t>年   月  日</w:t>
            </w:r>
          </w:p>
        </w:tc>
      </w:tr>
    </w:tbl>
    <w:p>
      <w:pPr>
        <w:spacing w:line="360" w:lineRule="exact"/>
        <w:ind w:firstLine="420" w:firstLineChars="200"/>
        <w:jc w:val="right"/>
        <w:rPr>
          <w:rFonts w:ascii="Times New Roman" w:hAnsi="Times New Roman" w:cs="Times New Roman"/>
          <w:szCs w:val="21"/>
        </w:rPr>
      </w:pPr>
      <w:r>
        <w:rPr>
          <w:rFonts w:ascii="Times New Roman" w:hAnsi="Times New Roman" w:cs="Times New Roman"/>
          <w:szCs w:val="21"/>
        </w:rPr>
        <w:t>年 月  日</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附件一：《竞买申请书》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附件二：《</w:t>
      </w:r>
      <w:r>
        <w:rPr>
          <w:rFonts w:hint="eastAsia" w:ascii="Times New Roman" w:hAnsi="Times New Roman" w:cs="Times New Roman"/>
          <w:szCs w:val="21"/>
        </w:rPr>
        <w:t>重庆市江津区两河口矿业有限公司建筑用砂岩矿</w:t>
      </w:r>
      <w:r>
        <w:rPr>
          <w:rFonts w:hint="eastAsia" w:ascii="宋体" w:hAnsi="宋体" w:eastAsia="宋体" w:cs="宋体"/>
          <w:szCs w:val="21"/>
        </w:rPr>
        <w:t>采矿权</w:t>
      </w:r>
      <w:r>
        <w:rPr>
          <w:rFonts w:ascii="Times New Roman" w:hAnsi="Times New Roman" w:cs="Times New Roman"/>
          <w:szCs w:val="21"/>
        </w:rPr>
        <w:t>竞买承诺书》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附件三：《授权委托书》</w:t>
      </w:r>
    </w:p>
    <w:p>
      <w:pPr>
        <w:spacing w:line="360" w:lineRule="exact"/>
        <w:ind w:firstLine="420" w:firstLineChars="200"/>
        <w:rPr>
          <w:rFonts w:ascii="Times New Roman" w:hAnsi="Times New Roman" w:eastAsia="方正仿宋_GBK" w:cs="Times New Roman"/>
        </w:rPr>
      </w:pPr>
      <w:r>
        <w:rPr>
          <w:rFonts w:ascii="Times New Roman" w:hAnsi="Times New Roman" w:cs="Times New Roman"/>
          <w:szCs w:val="21"/>
        </w:rPr>
        <w:t>附件四：</w:t>
      </w:r>
      <w:r>
        <w:rPr>
          <w:rFonts w:hint="eastAsia" w:ascii="Times New Roman" w:hAnsi="Times New Roman" w:cs="Times New Roman"/>
          <w:szCs w:val="21"/>
        </w:rPr>
        <w:t>《</w:t>
      </w:r>
      <w:r>
        <w:rPr>
          <w:rFonts w:ascii="Times New Roman" w:hAnsi="Times New Roman" w:cs="Times New Roman"/>
          <w:szCs w:val="21"/>
        </w:rPr>
        <w:t>重庆市</w:t>
      </w:r>
      <w:r>
        <w:rPr>
          <w:rFonts w:hint="eastAsia" w:ascii="Times New Roman" w:hAnsi="Times New Roman" w:cs="Times New Roman"/>
          <w:szCs w:val="21"/>
        </w:rPr>
        <w:t>采</w:t>
      </w:r>
      <w:r>
        <w:rPr>
          <w:rFonts w:ascii="Times New Roman" w:hAnsi="Times New Roman" w:cs="Times New Roman"/>
          <w:szCs w:val="21"/>
        </w:rPr>
        <w:t>矿权出让合同</w:t>
      </w:r>
      <w:r>
        <w:rPr>
          <w:rFonts w:hint="eastAsia" w:ascii="Times New Roman" w:hAnsi="Times New Roman" w:cs="Times New Roman"/>
          <w:szCs w:val="21"/>
        </w:rPr>
        <w:t>》</w:t>
      </w:r>
      <w:r>
        <w:rPr>
          <w:rFonts w:ascii="Times New Roman" w:hAnsi="Times New Roman" w:cs="Times New Roman"/>
          <w:szCs w:val="21"/>
        </w:rPr>
        <w:t>（模板）</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附件五：《采矿权成交确认书》模板</w:t>
      </w:r>
    </w:p>
    <w:p>
      <w:pPr>
        <w:spacing w:line="360" w:lineRule="exact"/>
        <w:ind w:firstLine="420" w:firstLineChars="200"/>
        <w:rPr>
          <w:rFonts w:ascii="Times New Roman" w:hAnsi="Times New Roman" w:cs="Times New Roman"/>
          <w:color w:val="222222"/>
          <w:szCs w:val="21"/>
        </w:rPr>
      </w:pPr>
    </w:p>
    <w:p>
      <w:pPr>
        <w:spacing w:line="360" w:lineRule="exact"/>
        <w:ind w:firstLine="420" w:firstLineChars="200"/>
        <w:rPr>
          <w:rFonts w:ascii="Times New Roman" w:hAnsi="Times New Roman" w:cs="Times New Roman"/>
          <w:color w:val="222222"/>
          <w:szCs w:val="21"/>
        </w:rPr>
      </w:pPr>
    </w:p>
    <w:p>
      <w:pPr>
        <w:spacing w:line="360" w:lineRule="exact"/>
        <w:ind w:firstLine="420" w:firstLineChars="200"/>
        <w:rPr>
          <w:rFonts w:ascii="Times New Roman" w:hAnsi="Times New Roman" w:cs="Times New Roman"/>
          <w:color w:val="222222"/>
          <w:szCs w:val="21"/>
        </w:rPr>
      </w:pPr>
      <w:bookmarkStart w:id="0" w:name="_GoBack"/>
      <w:bookmarkEnd w:id="0"/>
    </w:p>
    <w:p>
      <w:pPr>
        <w:spacing w:line="360" w:lineRule="exact"/>
        <w:ind w:firstLine="420" w:firstLineChars="200"/>
        <w:rPr>
          <w:rFonts w:ascii="Times New Roman" w:hAnsi="Times New Roman" w:cs="Times New Roman"/>
          <w:color w:val="222222"/>
          <w:szCs w:val="21"/>
        </w:rPr>
      </w:pPr>
    </w:p>
    <w:p>
      <w:pPr>
        <w:spacing w:line="360" w:lineRule="exact"/>
        <w:ind w:firstLine="420" w:firstLineChars="200"/>
        <w:rPr>
          <w:rFonts w:ascii="Times New Roman" w:hAnsi="Times New Roman" w:cs="Times New Roman"/>
          <w:color w:val="222222"/>
          <w:szCs w:val="21"/>
        </w:rPr>
      </w:pPr>
    </w:p>
    <w:p>
      <w:pPr>
        <w:spacing w:line="360" w:lineRule="exact"/>
        <w:ind w:firstLine="420" w:firstLineChars="200"/>
        <w:rPr>
          <w:rFonts w:ascii="Times New Roman" w:hAnsi="Times New Roman" w:cs="Times New Roman"/>
          <w:color w:val="222222"/>
          <w:szCs w:val="21"/>
        </w:rPr>
      </w:pPr>
    </w:p>
    <w:p>
      <w:pPr>
        <w:spacing w:line="360" w:lineRule="exact"/>
        <w:ind w:firstLine="420" w:firstLineChars="200"/>
        <w:rPr>
          <w:rFonts w:ascii="Times New Roman" w:hAnsi="Times New Roman" w:cs="Times New Roman"/>
          <w:color w:val="222222"/>
          <w:szCs w:val="21"/>
        </w:rPr>
      </w:pPr>
    </w:p>
    <w:p>
      <w:pPr>
        <w:spacing w:line="360" w:lineRule="exact"/>
        <w:ind w:firstLine="420" w:firstLineChars="200"/>
        <w:rPr>
          <w:rFonts w:ascii="Times New Roman" w:hAnsi="Times New Roman" w:cs="Times New Roman"/>
          <w:color w:val="222222"/>
          <w:szCs w:val="21"/>
        </w:rPr>
      </w:pPr>
    </w:p>
    <w:p>
      <w:pPr>
        <w:spacing w:line="360" w:lineRule="exact"/>
        <w:ind w:firstLine="640" w:firstLineChars="200"/>
        <w:rPr>
          <w:rFonts w:ascii="Times New Roman" w:hAnsi="Times New Roman" w:eastAsia="仿宋_GB2312" w:cs="Times New Roman"/>
          <w:color w:val="000000"/>
          <w:sz w:val="32"/>
          <w:szCs w:val="32"/>
        </w:rPr>
      </w:pPr>
    </w:p>
    <w:p/>
    <w:sectPr>
      <w:pgSz w:w="11906" w:h="16838"/>
      <w:pgMar w:top="1587" w:right="1474" w:bottom="1587" w:left="1474"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revisionView w:markup="0"/>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956"/>
    <w:rsid w:val="00004D0D"/>
    <w:rsid w:val="007400C2"/>
    <w:rsid w:val="00880956"/>
    <w:rsid w:val="00A50025"/>
    <w:rsid w:val="00CB205D"/>
    <w:rsid w:val="00E87CFF"/>
    <w:rsid w:val="02627489"/>
    <w:rsid w:val="1B9B3718"/>
    <w:rsid w:val="20B53585"/>
    <w:rsid w:val="24BA4293"/>
    <w:rsid w:val="3A9572C9"/>
    <w:rsid w:val="42C6270B"/>
    <w:rsid w:val="43A24EAA"/>
    <w:rsid w:val="451B6779"/>
    <w:rsid w:val="5CBD06F9"/>
    <w:rsid w:val="6349247A"/>
    <w:rsid w:val="70FF4C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heme="minorHAnsi" w:hAnsiTheme="minorHAnsi" w:eastAsiaTheme="minorEastAsia" w:cstheme="minorBidi"/>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0"/>
    <w:rPr>
      <w:sz w:val="18"/>
      <w:szCs w:val="18"/>
    </w:rPr>
  </w:style>
  <w:style w:type="character" w:customStyle="1" w:styleId="7">
    <w:name w:val="页脚 Char"/>
    <w:basedOn w:val="5"/>
    <w:link w:val="2"/>
    <w:qFormat/>
    <w:uiPriority w:val="0"/>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855</Words>
  <Characters>4877</Characters>
  <Lines>40</Lines>
  <Paragraphs>11</Paragraphs>
  <TotalTime>3</TotalTime>
  <ScaleCrop>false</ScaleCrop>
  <LinksUpToDate>false</LinksUpToDate>
  <CharactersWithSpaces>5721</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2021-02-24T09:07:00Z</dcterms:created>
  <dc:creator>Administrator</dc:creator>
  <cp:lastModifiedBy>赵国华</cp:lastModifiedBy>
  <dcterms:modified xsi:type="dcterms:W3CDTF">2022-09-28T01:24:23Z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