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bookmarkStart w:id="0" w:name="OLE_LINK1"/>
      <w:r>
        <w:rPr>
          <w:rFonts w:ascii="Times New Roman" w:hAnsi="Times New Roman" w:eastAsia="黑体"/>
          <w:sz w:val="40"/>
          <w:szCs w:val="40"/>
        </w:rPr>
        <w:t>重庆</w:t>
      </w:r>
      <w:bookmarkEnd w:id="0"/>
      <w:r>
        <w:rPr>
          <w:rFonts w:ascii="Times New Roman" w:hAnsi="Times New Roman" w:eastAsia="黑体"/>
          <w:sz w:val="40"/>
          <w:szCs w:val="40"/>
        </w:rPr>
        <w:t>市探矿权公开出让公告</w:t>
      </w:r>
    </w:p>
    <w:p>
      <w:pPr>
        <w:jc w:val="center"/>
        <w:rPr>
          <w:rFonts w:ascii="Times New Roman" w:hAnsi="Times New Roman" w:eastAsia="黑体"/>
          <w:sz w:val="30"/>
          <w:szCs w:val="30"/>
        </w:rPr>
      </w:pPr>
      <w:r>
        <w:rPr>
          <w:rFonts w:hint="eastAsia" w:ascii="Times New Roman" w:hAnsi="Times New Roman" w:eastAsia="黑体"/>
          <w:sz w:val="30"/>
          <w:szCs w:val="30"/>
        </w:rPr>
        <w:t>渝矿探出字〔2022〕（开州）1号</w:t>
      </w:r>
    </w:p>
    <w:p>
      <w:pPr>
        <w:spacing w:line="360" w:lineRule="exact"/>
        <w:ind w:firstLine="480" w:firstLineChars="200"/>
        <w:rPr>
          <w:rFonts w:ascii="Times New Roman" w:hAnsi="Times New Roman"/>
          <w:sz w:val="24"/>
        </w:rPr>
      </w:pPr>
      <w:r>
        <w:rPr>
          <w:rFonts w:ascii="Times New Roman" w:hAnsi="Times New Roman"/>
          <w:sz w:val="24"/>
        </w:rPr>
        <w:t>根据</w:t>
      </w:r>
      <w:r>
        <w:rPr>
          <w:rFonts w:hint="eastAsia" w:ascii="Times New Roman" w:hAnsi="Times New Roman"/>
          <w:sz w:val="24"/>
        </w:rPr>
        <w:t>国家和重庆市的相关规定</w:t>
      </w:r>
      <w:r>
        <w:rPr>
          <w:rFonts w:ascii="Times New Roman" w:hAnsi="Times New Roman"/>
          <w:sz w:val="24"/>
        </w:rPr>
        <w:t>，现对以下探矿权予以公告，公告时间为</w:t>
      </w:r>
      <w:r>
        <w:rPr>
          <w:rFonts w:hint="eastAsia" w:ascii="Times New Roman" w:hAnsi="Times New Roman"/>
          <w:sz w:val="24"/>
          <w:u w:val="single"/>
        </w:rPr>
        <w:t>2022年12月30日09时</w:t>
      </w:r>
      <w:r>
        <w:rPr>
          <w:rFonts w:hint="eastAsia" w:ascii="Times New Roman" w:hAnsi="Times New Roman"/>
          <w:sz w:val="24"/>
        </w:rPr>
        <w:t>至</w:t>
      </w:r>
      <w:r>
        <w:rPr>
          <w:rFonts w:hint="eastAsia" w:ascii="Times New Roman" w:hAnsi="Times New Roman"/>
          <w:sz w:val="24"/>
          <w:u w:val="single"/>
        </w:rPr>
        <w:t>2023年02月01日17时</w:t>
      </w:r>
      <w:r>
        <w:rPr>
          <w:rFonts w:ascii="Times New Roman" w:hAnsi="Times New Roman"/>
          <w:sz w:val="24"/>
        </w:rPr>
        <w:t>。公告日期内有2家以上（含2家）申报的采取拍卖方式确定受让方，拍卖时间另行通知；公告时间内只有1家单位申报的将采取挂牌出让。本次公开出让的探矿权采用现场交易，出让详细资料和具体要求，</w:t>
      </w:r>
      <w:r>
        <w:rPr>
          <w:rFonts w:hint="eastAsia" w:ascii="Times New Roman" w:hAnsi="Times New Roman"/>
          <w:sz w:val="24"/>
        </w:rPr>
        <w:t>竞买申请人可在公告截止前到重庆市公共资源交易网(开州区）：https://www.cqggzy.com/kaizhouweb/自行下载相关资料并进行报名</w:t>
      </w:r>
      <w:r>
        <w:rPr>
          <w:rFonts w:ascii="Times New Roman" w:hAnsi="Times New Roman"/>
          <w:sz w:val="24"/>
        </w:rPr>
        <w:t>。地址：</w:t>
      </w:r>
      <w:r>
        <w:rPr>
          <w:rFonts w:hint="eastAsia" w:ascii="Times New Roman" w:hAnsi="Times New Roman"/>
          <w:sz w:val="24"/>
        </w:rPr>
        <w:t>重庆市开州区云枫街道关子社区巴渠街90号（职教中心斜对面人行天桥旁）</w:t>
      </w:r>
      <w:r>
        <w:rPr>
          <w:rFonts w:ascii="Times New Roman" w:hAnsi="Times New Roman"/>
          <w:sz w:val="24"/>
        </w:rPr>
        <w:t>，联系电话：</w:t>
      </w:r>
      <w:r>
        <w:rPr>
          <w:rFonts w:hint="eastAsia" w:ascii="Times New Roman" w:hAnsi="Times New Roman"/>
          <w:sz w:val="24"/>
        </w:rPr>
        <w:t>023-52612128</w:t>
      </w:r>
      <w:r>
        <w:rPr>
          <w:rFonts w:ascii="Times New Roman" w:hAnsi="Times New Roman"/>
          <w:sz w:val="24"/>
        </w:rPr>
        <w:t>，联系人：</w:t>
      </w:r>
      <w:r>
        <w:rPr>
          <w:rFonts w:hint="eastAsia" w:ascii="Times New Roman" w:hAnsi="Times New Roman"/>
          <w:sz w:val="24"/>
        </w:rPr>
        <w:t>陈老师</w:t>
      </w:r>
      <w:r>
        <w:rPr>
          <w:rFonts w:ascii="Times New Roman" w:hAnsi="Times New Roman"/>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同步发布的网站：自然资源部网站：http://www.mnr.gov.cn、重庆市规划和自然资源局网站：http://ghzrzyj.cq.gov.cn、重庆市公共资源交易网(开州区）：https://www.cqggzy.com/kaizhouweb/</w:t>
      </w:r>
      <w:r>
        <w:rPr>
          <w:rFonts w:ascii="Times New Roman" w:hAnsi="Times New Roman"/>
          <w:sz w:val="24"/>
        </w:rPr>
        <w:t>。</w:t>
      </w:r>
    </w:p>
    <w:tbl>
      <w:tblPr>
        <w:tblStyle w:val="8"/>
        <w:tblW w:w="143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5"/>
        <w:gridCol w:w="2052"/>
        <w:gridCol w:w="993"/>
        <w:gridCol w:w="850"/>
        <w:gridCol w:w="2185"/>
        <w:gridCol w:w="1701"/>
        <w:gridCol w:w="1746"/>
        <w:gridCol w:w="954"/>
        <w:gridCol w:w="1229"/>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jc w:val="center"/>
        </w:trPr>
        <w:tc>
          <w:tcPr>
            <w:tcW w:w="1345" w:type="dxa"/>
            <w:vAlign w:val="center"/>
          </w:tcPr>
          <w:p>
            <w:pPr>
              <w:jc w:val="center"/>
              <w:rPr>
                <w:rFonts w:ascii="Times New Roman" w:hAnsi="Times New Roman"/>
                <w:szCs w:val="21"/>
              </w:rPr>
            </w:pPr>
            <w:r>
              <w:rPr>
                <w:rFonts w:ascii="Times New Roman" w:hAnsi="Times New Roman"/>
                <w:szCs w:val="21"/>
              </w:rPr>
              <w:t>序号</w:t>
            </w:r>
          </w:p>
        </w:tc>
        <w:tc>
          <w:tcPr>
            <w:tcW w:w="2052" w:type="dxa"/>
            <w:vAlign w:val="center"/>
          </w:tcPr>
          <w:p>
            <w:pPr>
              <w:jc w:val="center"/>
              <w:rPr>
                <w:rFonts w:ascii="Times New Roman" w:hAnsi="Times New Roman"/>
                <w:szCs w:val="21"/>
              </w:rPr>
            </w:pPr>
            <w:r>
              <w:rPr>
                <w:rFonts w:ascii="Times New Roman" w:hAnsi="Times New Roman"/>
                <w:szCs w:val="21"/>
              </w:rPr>
              <w:t>探矿权名称</w:t>
            </w:r>
          </w:p>
          <w:p>
            <w:pPr>
              <w:jc w:val="center"/>
              <w:rPr>
                <w:rFonts w:ascii="Times New Roman" w:hAnsi="Times New Roman"/>
                <w:szCs w:val="21"/>
              </w:rPr>
            </w:pPr>
            <w:r>
              <w:rPr>
                <w:rFonts w:ascii="Times New Roman" w:hAnsi="Times New Roman"/>
                <w:szCs w:val="21"/>
              </w:rPr>
              <w:t>（暂定名）</w:t>
            </w:r>
          </w:p>
        </w:tc>
        <w:tc>
          <w:tcPr>
            <w:tcW w:w="993" w:type="dxa"/>
            <w:vAlign w:val="center"/>
          </w:tcPr>
          <w:p>
            <w:pPr>
              <w:jc w:val="center"/>
              <w:rPr>
                <w:rFonts w:ascii="Times New Roman" w:hAnsi="Times New Roman"/>
                <w:szCs w:val="21"/>
              </w:rPr>
            </w:pPr>
            <w:r>
              <w:rPr>
                <w:rFonts w:ascii="Times New Roman" w:hAnsi="Times New Roman"/>
                <w:szCs w:val="21"/>
              </w:rPr>
              <w:t>地理</w:t>
            </w:r>
          </w:p>
          <w:p>
            <w:pPr>
              <w:jc w:val="center"/>
              <w:rPr>
                <w:rFonts w:ascii="Times New Roman" w:hAnsi="Times New Roman"/>
                <w:szCs w:val="21"/>
              </w:rPr>
            </w:pPr>
            <w:r>
              <w:rPr>
                <w:rFonts w:ascii="Times New Roman" w:hAnsi="Times New Roman"/>
                <w:szCs w:val="21"/>
              </w:rPr>
              <w:t>位置</w:t>
            </w:r>
          </w:p>
        </w:tc>
        <w:tc>
          <w:tcPr>
            <w:tcW w:w="850" w:type="dxa"/>
            <w:vAlign w:val="center"/>
          </w:tcPr>
          <w:p>
            <w:pPr>
              <w:jc w:val="center"/>
              <w:rPr>
                <w:rFonts w:ascii="Times New Roman" w:hAnsi="Times New Roman"/>
                <w:szCs w:val="21"/>
              </w:rPr>
            </w:pPr>
            <w:r>
              <w:rPr>
                <w:rFonts w:ascii="Times New Roman" w:hAnsi="Times New Roman"/>
                <w:szCs w:val="21"/>
              </w:rPr>
              <w:t>勘查</w:t>
            </w:r>
          </w:p>
          <w:p>
            <w:pPr>
              <w:jc w:val="center"/>
              <w:rPr>
                <w:rFonts w:ascii="Times New Roman" w:hAnsi="Times New Roman"/>
                <w:szCs w:val="21"/>
              </w:rPr>
            </w:pPr>
            <w:r>
              <w:rPr>
                <w:rFonts w:ascii="Times New Roman" w:hAnsi="Times New Roman"/>
                <w:szCs w:val="21"/>
              </w:rPr>
              <w:t>矿种</w:t>
            </w:r>
          </w:p>
        </w:tc>
        <w:tc>
          <w:tcPr>
            <w:tcW w:w="2185" w:type="dxa"/>
            <w:vAlign w:val="center"/>
          </w:tcPr>
          <w:p>
            <w:pPr>
              <w:jc w:val="center"/>
              <w:rPr>
                <w:rFonts w:ascii="Times New Roman" w:hAnsi="Times New Roman"/>
                <w:szCs w:val="21"/>
              </w:rPr>
            </w:pPr>
            <w:r>
              <w:rPr>
                <w:rFonts w:ascii="Times New Roman" w:hAnsi="Times New Roman"/>
                <w:szCs w:val="21"/>
              </w:rPr>
              <w:t>勘查范围拐点坐标（2000坐标系）</w:t>
            </w:r>
          </w:p>
        </w:tc>
        <w:tc>
          <w:tcPr>
            <w:tcW w:w="1701" w:type="dxa"/>
            <w:vAlign w:val="center"/>
          </w:tcPr>
          <w:p>
            <w:pPr>
              <w:jc w:val="center"/>
              <w:rPr>
                <w:rFonts w:ascii="Times New Roman" w:hAnsi="Times New Roman"/>
                <w:szCs w:val="21"/>
              </w:rPr>
            </w:pPr>
            <w:r>
              <w:rPr>
                <w:rFonts w:ascii="Times New Roman" w:hAnsi="Times New Roman"/>
                <w:szCs w:val="21"/>
              </w:rPr>
              <w:t>勘查面积</w:t>
            </w:r>
          </w:p>
          <w:p>
            <w:pPr>
              <w:jc w:val="center"/>
              <w:rPr>
                <w:rFonts w:ascii="Times New Roman" w:hAnsi="Times New Roman"/>
                <w:szCs w:val="21"/>
              </w:rPr>
            </w:pPr>
            <w:r>
              <w:rPr>
                <w:rFonts w:ascii="Times New Roman" w:hAnsi="Times New Roman"/>
                <w:szCs w:val="21"/>
              </w:rPr>
              <w:t>（平方公里）</w:t>
            </w:r>
          </w:p>
        </w:tc>
        <w:tc>
          <w:tcPr>
            <w:tcW w:w="1746" w:type="dxa"/>
            <w:vAlign w:val="center"/>
          </w:tcPr>
          <w:p>
            <w:pPr>
              <w:jc w:val="center"/>
              <w:rPr>
                <w:rFonts w:ascii="Times New Roman" w:hAnsi="Times New Roman"/>
                <w:szCs w:val="21"/>
              </w:rPr>
            </w:pPr>
            <w:r>
              <w:rPr>
                <w:rFonts w:hint="eastAsia" w:ascii="Times New Roman" w:hAnsi="Times New Roman"/>
                <w:szCs w:val="21"/>
              </w:rPr>
              <w:t>勘查阶段</w:t>
            </w:r>
          </w:p>
        </w:tc>
        <w:tc>
          <w:tcPr>
            <w:tcW w:w="954" w:type="dxa"/>
            <w:vAlign w:val="center"/>
          </w:tcPr>
          <w:p>
            <w:pPr>
              <w:jc w:val="center"/>
              <w:rPr>
                <w:rFonts w:ascii="Times New Roman" w:hAnsi="Times New Roman"/>
                <w:szCs w:val="21"/>
              </w:rPr>
            </w:pPr>
            <w:r>
              <w:rPr>
                <w:rFonts w:ascii="Times New Roman" w:hAnsi="Times New Roman"/>
                <w:szCs w:val="21"/>
              </w:rPr>
              <w:t>出让</w:t>
            </w:r>
          </w:p>
          <w:p>
            <w:pPr>
              <w:jc w:val="center"/>
              <w:rPr>
                <w:rFonts w:ascii="Times New Roman" w:hAnsi="Times New Roman"/>
                <w:szCs w:val="21"/>
              </w:rPr>
            </w:pPr>
            <w:r>
              <w:rPr>
                <w:rFonts w:ascii="Times New Roman" w:hAnsi="Times New Roman"/>
                <w:szCs w:val="21"/>
              </w:rPr>
              <w:t>年限（年）</w:t>
            </w:r>
          </w:p>
        </w:tc>
        <w:tc>
          <w:tcPr>
            <w:tcW w:w="1229"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1276" w:type="dxa"/>
            <w:vAlign w:val="center"/>
          </w:tcPr>
          <w:p>
            <w:pPr>
              <w:jc w:val="center"/>
              <w:rPr>
                <w:rFonts w:ascii="Times New Roman" w:hAnsi="Times New Roman"/>
                <w:szCs w:val="21"/>
              </w:rPr>
            </w:pPr>
            <w:r>
              <w:rPr>
                <w:rFonts w:ascii="Times New Roman" w:hAnsi="Times New Roman"/>
                <w:szCs w:val="21"/>
              </w:rPr>
              <w:t>保证金</w:t>
            </w:r>
          </w:p>
          <w:p>
            <w:pPr>
              <w:jc w:val="center"/>
              <w:rPr>
                <w:rFonts w:ascii="Times New Roman" w:hAnsi="Times New Roman"/>
                <w:szCs w:val="21"/>
              </w:rPr>
            </w:pPr>
            <w:r>
              <w:rPr>
                <w:rFonts w:ascii="Times New Roman" w:hAnsi="Times New Roman"/>
                <w:szCs w:val="21"/>
              </w:rPr>
              <w:t>金额</w:t>
            </w:r>
          </w:p>
          <w:p>
            <w:pPr>
              <w:jc w:val="center"/>
              <w:rPr>
                <w:rFonts w:ascii="Times New Roman" w:hAnsi="Times New Roman"/>
                <w:szCs w:val="21"/>
              </w:rPr>
            </w:pPr>
            <w:r>
              <w:rPr>
                <w:rFonts w:ascii="Times New Roman" w:hAnsi="Times New Roman"/>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1345" w:type="dxa"/>
            <w:vAlign w:val="center"/>
          </w:tcPr>
          <w:p>
            <w:pPr>
              <w:jc w:val="center"/>
              <w:rPr>
                <w:rFonts w:ascii="Times New Roman" w:hAnsi="Times New Roman"/>
                <w:szCs w:val="21"/>
              </w:rPr>
            </w:pPr>
            <w:r>
              <w:rPr>
                <w:rFonts w:hint="eastAsia" w:ascii="Times New Roman" w:hAnsi="Times New Roman"/>
                <w:szCs w:val="21"/>
              </w:rPr>
              <w:t>KZGT202201</w:t>
            </w:r>
          </w:p>
        </w:tc>
        <w:tc>
          <w:tcPr>
            <w:tcW w:w="2052" w:type="dxa"/>
            <w:vAlign w:val="center"/>
          </w:tcPr>
          <w:p>
            <w:pPr>
              <w:jc w:val="center"/>
              <w:rPr>
                <w:rFonts w:ascii="Times New Roman" w:hAnsi="Times New Roman"/>
                <w:szCs w:val="21"/>
              </w:rPr>
            </w:pPr>
            <w:r>
              <w:rPr>
                <w:rFonts w:hint="eastAsia" w:ascii="Times New Roman" w:hAnsi="Times New Roman"/>
                <w:szCs w:val="21"/>
              </w:rPr>
              <w:t>重庆市开州区温泉镇地热水资源勘查</w:t>
            </w:r>
          </w:p>
        </w:tc>
        <w:tc>
          <w:tcPr>
            <w:tcW w:w="993" w:type="dxa"/>
            <w:vAlign w:val="center"/>
          </w:tcPr>
          <w:p>
            <w:pPr>
              <w:jc w:val="center"/>
              <w:rPr>
                <w:rFonts w:ascii="Times New Roman" w:hAnsi="Times New Roman"/>
                <w:szCs w:val="21"/>
              </w:rPr>
            </w:pPr>
            <w:r>
              <w:rPr>
                <w:rFonts w:hint="eastAsia" w:ascii="Times New Roman" w:hAnsi="Times New Roman"/>
                <w:szCs w:val="21"/>
              </w:rPr>
              <w:t>重庆市开州区温泉镇徐家坝社区</w:t>
            </w:r>
          </w:p>
        </w:tc>
        <w:tc>
          <w:tcPr>
            <w:tcW w:w="850" w:type="dxa"/>
            <w:vAlign w:val="center"/>
          </w:tcPr>
          <w:p>
            <w:pPr>
              <w:jc w:val="center"/>
              <w:rPr>
                <w:rFonts w:ascii="Times New Roman" w:hAnsi="Times New Roman"/>
                <w:szCs w:val="21"/>
              </w:rPr>
            </w:pPr>
            <w:r>
              <w:rPr>
                <w:rFonts w:hint="eastAsia" w:ascii="Times New Roman" w:hAnsi="Times New Roman"/>
                <w:szCs w:val="21"/>
              </w:rPr>
              <w:t>地热</w:t>
            </w:r>
          </w:p>
        </w:tc>
        <w:tc>
          <w:tcPr>
            <w:tcW w:w="2185" w:type="dxa"/>
            <w:vAlign w:val="center"/>
          </w:tcPr>
          <w:p>
            <w:pPr>
              <w:jc w:val="center"/>
              <w:rPr>
                <w:rFonts w:ascii="Times New Roman" w:hAnsi="Times New Roman"/>
                <w:szCs w:val="21"/>
              </w:rPr>
            </w:pPr>
            <w:r>
              <w:rPr>
                <w:rFonts w:ascii="Times New Roman" w:hAnsi="Times New Roman"/>
                <w:szCs w:val="21"/>
              </w:rPr>
              <w:t>详见《竞买须知》</w:t>
            </w:r>
          </w:p>
        </w:tc>
        <w:tc>
          <w:tcPr>
            <w:tcW w:w="1701" w:type="dxa"/>
            <w:vAlign w:val="center"/>
          </w:tcPr>
          <w:p>
            <w:pPr>
              <w:jc w:val="center"/>
              <w:rPr>
                <w:rFonts w:ascii="Times New Roman" w:hAnsi="Times New Roman"/>
                <w:szCs w:val="21"/>
              </w:rPr>
            </w:pPr>
            <w:r>
              <w:rPr>
                <w:rFonts w:hint="eastAsia" w:ascii="Times New Roman" w:hAnsi="Times New Roman"/>
                <w:szCs w:val="21"/>
              </w:rPr>
              <w:t>0.2381</w:t>
            </w:r>
          </w:p>
        </w:tc>
        <w:tc>
          <w:tcPr>
            <w:tcW w:w="1746" w:type="dxa"/>
            <w:vAlign w:val="center"/>
          </w:tcPr>
          <w:p>
            <w:pPr>
              <w:jc w:val="center"/>
              <w:rPr>
                <w:rFonts w:hint="eastAsia" w:ascii="Times New Roman" w:hAnsi="Times New Roman" w:eastAsia="宋体"/>
                <w:szCs w:val="21"/>
                <w:lang w:eastAsia="zh-CN"/>
              </w:rPr>
            </w:pPr>
            <w:r>
              <w:rPr>
                <w:rFonts w:hint="eastAsia" w:ascii="Times New Roman" w:hAnsi="Times New Roman"/>
                <w:szCs w:val="21"/>
                <w:lang w:val="en-US" w:eastAsia="zh-CN"/>
              </w:rPr>
              <w:t>空白</w:t>
            </w:r>
          </w:p>
        </w:tc>
        <w:tc>
          <w:tcPr>
            <w:tcW w:w="954" w:type="dxa"/>
            <w:vAlign w:val="center"/>
          </w:tcPr>
          <w:p>
            <w:pPr>
              <w:jc w:val="center"/>
              <w:rPr>
                <w:rFonts w:ascii="Times New Roman" w:hAnsi="Times New Roman"/>
                <w:szCs w:val="21"/>
              </w:rPr>
            </w:pPr>
            <w:r>
              <w:rPr>
                <w:rFonts w:hint="eastAsia" w:ascii="Times New Roman" w:hAnsi="Times New Roman"/>
                <w:szCs w:val="21"/>
              </w:rPr>
              <w:t>5</w:t>
            </w:r>
          </w:p>
        </w:tc>
        <w:tc>
          <w:tcPr>
            <w:tcW w:w="1229" w:type="dxa"/>
            <w:vAlign w:val="center"/>
          </w:tcPr>
          <w:p>
            <w:pPr>
              <w:jc w:val="center"/>
              <w:rPr>
                <w:rFonts w:ascii="Times New Roman" w:hAnsi="Times New Roman"/>
                <w:szCs w:val="21"/>
              </w:rPr>
            </w:pPr>
            <w:r>
              <w:rPr>
                <w:rFonts w:hint="eastAsia" w:ascii="Times New Roman" w:hAnsi="Times New Roman"/>
                <w:szCs w:val="21"/>
              </w:rPr>
              <w:t>98</w:t>
            </w:r>
          </w:p>
        </w:tc>
        <w:tc>
          <w:tcPr>
            <w:tcW w:w="1276" w:type="dxa"/>
            <w:vAlign w:val="center"/>
          </w:tcPr>
          <w:p>
            <w:pPr>
              <w:jc w:val="center"/>
              <w:rPr>
                <w:rFonts w:ascii="Times New Roman" w:hAnsi="Times New Roman"/>
                <w:szCs w:val="21"/>
              </w:rPr>
            </w:pPr>
            <w:r>
              <w:rPr>
                <w:rFonts w:hint="eastAsia" w:ascii="Times New Roman" w:hAnsi="Times New Roman"/>
                <w:szCs w:val="21"/>
              </w:rPr>
              <w:t>98</w:t>
            </w:r>
          </w:p>
        </w:tc>
      </w:tr>
    </w:tbl>
    <w:p>
      <w:pPr>
        <w:rPr>
          <w:rFonts w:ascii="Times New Roman" w:hAnsi="Times New Roman"/>
          <w:sz w:val="24"/>
        </w:rPr>
      </w:pPr>
      <w:bookmarkStart w:id="1" w:name="_GoBack"/>
      <w:bookmarkEnd w:id="1"/>
    </w:p>
    <w:p>
      <w:pPr>
        <w:spacing w:line="360" w:lineRule="exact"/>
        <w:rPr>
          <w:rFonts w:ascii="Times New Roman" w:hAnsi="Times New Roman"/>
          <w:sz w:val="24"/>
        </w:rPr>
      </w:pPr>
      <w:r>
        <w:rPr>
          <w:rFonts w:ascii="Times New Roman" w:hAnsi="Times New Roman"/>
          <w:sz w:val="24"/>
        </w:rPr>
        <w:t>备注：</w:t>
      </w:r>
    </w:p>
    <w:p>
      <w:pPr>
        <w:spacing w:line="360" w:lineRule="exact"/>
        <w:rPr>
          <w:rFonts w:ascii="Times New Roman" w:hAnsi="Times New Roman"/>
          <w:sz w:val="24"/>
        </w:rPr>
      </w:pPr>
      <w:r>
        <w:rPr>
          <w:rFonts w:ascii="Times New Roman" w:hAnsi="Times New Roman"/>
          <w:sz w:val="24"/>
        </w:rPr>
        <w:t>一、序号</w:t>
      </w:r>
      <w:r>
        <w:rPr>
          <w:rFonts w:hint="eastAsia" w:ascii="Times New Roman" w:hAnsi="Times New Roman"/>
          <w:szCs w:val="21"/>
        </w:rPr>
        <w:t>KZGT202201</w:t>
      </w:r>
      <w:r>
        <w:rPr>
          <w:rFonts w:ascii="Times New Roman" w:hAnsi="Times New Roman"/>
          <w:sz w:val="24"/>
        </w:rPr>
        <w:t>探矿权出让人：</w:t>
      </w:r>
      <w:r>
        <w:rPr>
          <w:rFonts w:hint="eastAsia" w:ascii="Times New Roman" w:hAnsi="Times New Roman"/>
          <w:sz w:val="24"/>
        </w:rPr>
        <w:t>重庆市开州区规划和自然资源局</w:t>
      </w:r>
      <w:r>
        <w:rPr>
          <w:rFonts w:ascii="Times New Roman" w:hAnsi="Times New Roman"/>
          <w:sz w:val="24"/>
        </w:rPr>
        <w:t>，地址：</w:t>
      </w:r>
      <w:r>
        <w:rPr>
          <w:rFonts w:hint="eastAsia" w:ascii="Times New Roman" w:hAnsi="Times New Roman"/>
          <w:sz w:val="24"/>
        </w:rPr>
        <w:t>重庆市开州区开州大道189号</w:t>
      </w:r>
      <w:r>
        <w:rPr>
          <w:rFonts w:ascii="Times New Roman" w:hAnsi="Times New Roman"/>
          <w:sz w:val="24"/>
        </w:rPr>
        <w:t>，联系人：</w:t>
      </w:r>
      <w:r>
        <w:rPr>
          <w:rFonts w:hint="eastAsia" w:ascii="Times New Roman" w:hAnsi="Times New Roman"/>
          <w:sz w:val="24"/>
        </w:rPr>
        <w:t>陈老师</w:t>
      </w:r>
      <w:r>
        <w:rPr>
          <w:rFonts w:ascii="Times New Roman" w:hAnsi="Times New Roman"/>
          <w:sz w:val="24"/>
        </w:rPr>
        <w:t>，联系电话：</w:t>
      </w:r>
      <w:r>
        <w:rPr>
          <w:rFonts w:hint="eastAsia" w:ascii="Times New Roman" w:hAnsi="Times New Roman"/>
          <w:sz w:val="24"/>
        </w:rPr>
        <w:t>023—52299085</w:t>
      </w:r>
      <w:r>
        <w:rPr>
          <w:rFonts w:ascii="Times New Roman" w:hAnsi="Times New Roman"/>
          <w:sz w:val="24"/>
        </w:rPr>
        <w:t>。</w:t>
      </w:r>
    </w:p>
    <w:p>
      <w:pPr>
        <w:spacing w:line="360" w:lineRule="exact"/>
        <w:rPr>
          <w:rFonts w:asciiTheme="minorEastAsia" w:hAnsiTheme="minorEastAsia"/>
          <w:sz w:val="24"/>
          <w:szCs w:val="24"/>
        </w:rPr>
      </w:pPr>
      <w:r>
        <w:rPr>
          <w:rFonts w:ascii="Times New Roman" w:hAnsi="Times New Roman"/>
          <w:sz w:val="24"/>
        </w:rPr>
        <w:t>二、</w:t>
      </w:r>
    </w:p>
    <w:p>
      <w:pPr>
        <w:spacing w:line="360" w:lineRule="exact"/>
        <w:rPr>
          <w:rFonts w:ascii="Times New Roman" w:hAnsi="Times New Roman"/>
          <w:sz w:val="24"/>
        </w:rPr>
      </w:pPr>
      <w:r>
        <w:rPr>
          <w:rFonts w:ascii="Times New Roman" w:hAnsi="Times New Roman"/>
          <w:sz w:val="24"/>
        </w:rPr>
        <w:t>保证金户名：</w:t>
      </w:r>
      <w:r>
        <w:rPr>
          <w:rFonts w:hint="eastAsia" w:ascii="Times New Roman" w:hAnsi="Times New Roman"/>
          <w:sz w:val="24"/>
        </w:rPr>
        <w:t>重庆市开州区公共资源交易中心</w:t>
      </w:r>
      <w:r>
        <w:rPr>
          <w:rFonts w:ascii="Times New Roman" w:hAnsi="Times New Roman"/>
          <w:sz w:val="24"/>
        </w:rPr>
        <w:t xml:space="preserve">        开户行：</w:t>
      </w:r>
      <w:r>
        <w:rPr>
          <w:rFonts w:hint="eastAsia" w:ascii="Times New Roman" w:hAnsi="Times New Roman"/>
          <w:sz w:val="24"/>
        </w:rPr>
        <w:t>中国建设银行股份有限公司开县支行营业部</w:t>
      </w:r>
      <w:r>
        <w:rPr>
          <w:rFonts w:ascii="Times New Roman" w:hAnsi="Times New Roman"/>
          <w:sz w:val="24"/>
        </w:rPr>
        <w:t xml:space="preserve"> </w:t>
      </w:r>
      <w:r>
        <w:rPr>
          <w:rFonts w:hint="eastAsia" w:ascii="Times New Roman" w:hAnsi="Times New Roman"/>
          <w:sz w:val="24"/>
        </w:rPr>
        <w:t>账</w:t>
      </w:r>
      <w:r>
        <w:rPr>
          <w:rFonts w:ascii="Times New Roman" w:hAnsi="Times New Roman"/>
          <w:sz w:val="24"/>
        </w:rPr>
        <w:t xml:space="preserve">号： </w:t>
      </w:r>
      <w:r>
        <w:rPr>
          <w:rFonts w:hint="eastAsia" w:ascii="Times New Roman" w:hAnsi="Times New Roman"/>
          <w:sz w:val="24"/>
        </w:rPr>
        <w:t>50001223600059208518</w:t>
      </w:r>
      <w:r>
        <w:rPr>
          <w:rFonts w:ascii="Times New Roman" w:hAnsi="Times New Roman"/>
          <w:sz w:val="24"/>
        </w:rPr>
        <w:t>。</w:t>
      </w:r>
    </w:p>
    <w:p>
      <w:pPr>
        <w:spacing w:line="360" w:lineRule="exact"/>
        <w:rPr>
          <w:rFonts w:asciiTheme="minorEastAsia" w:hAnsiTheme="minorEastAsia"/>
          <w:sz w:val="24"/>
          <w:szCs w:val="24"/>
        </w:rPr>
      </w:pPr>
    </w:p>
    <w:p>
      <w:pPr>
        <w:spacing w:line="360" w:lineRule="exact"/>
        <w:rPr>
          <w:rFonts w:ascii="Times New Roman" w:hAnsi="Times New Roman"/>
          <w:sz w:val="24"/>
        </w:rPr>
      </w:pPr>
      <w:r>
        <w:rPr>
          <w:rFonts w:ascii="Times New Roman" w:hAnsi="Times New Roman"/>
          <w:sz w:val="24"/>
        </w:rPr>
        <w:t>保证金户名：</w:t>
      </w:r>
      <w:r>
        <w:rPr>
          <w:rFonts w:hint="eastAsia" w:ascii="Times New Roman" w:hAnsi="Times New Roman"/>
          <w:sz w:val="24"/>
        </w:rPr>
        <w:t>重庆市开州区公共资源交易中心</w:t>
      </w:r>
      <w:r>
        <w:rPr>
          <w:rFonts w:ascii="Times New Roman" w:hAnsi="Times New Roman"/>
          <w:sz w:val="24"/>
        </w:rPr>
        <w:t xml:space="preserve">        开户行：</w:t>
      </w:r>
      <w:r>
        <w:rPr>
          <w:rFonts w:hint="eastAsia" w:ascii="Times New Roman" w:hAnsi="Times New Roman"/>
          <w:sz w:val="24"/>
        </w:rPr>
        <w:t>中国农业银行股份有限公司重庆开州支行</w:t>
      </w:r>
      <w:r>
        <w:rPr>
          <w:rFonts w:ascii="Times New Roman" w:hAnsi="Times New Roman"/>
          <w:sz w:val="24"/>
        </w:rPr>
        <w:t xml:space="preserve"> </w:t>
      </w:r>
      <w:r>
        <w:rPr>
          <w:rFonts w:hint="eastAsia" w:ascii="Times New Roman" w:hAnsi="Times New Roman"/>
          <w:sz w:val="24"/>
        </w:rPr>
        <w:t>账</w:t>
      </w:r>
      <w:r>
        <w:rPr>
          <w:rFonts w:ascii="Times New Roman" w:hAnsi="Times New Roman"/>
          <w:sz w:val="24"/>
        </w:rPr>
        <w:t xml:space="preserve">号： </w:t>
      </w:r>
      <w:r>
        <w:rPr>
          <w:rFonts w:hint="eastAsia" w:ascii="Times New Roman" w:hAnsi="Times New Roman"/>
          <w:sz w:val="24"/>
        </w:rPr>
        <w:t>31440101040010450</w:t>
      </w:r>
      <w:r>
        <w:rPr>
          <w:rFonts w:ascii="Times New Roman" w:hAnsi="Times New Roman"/>
          <w:sz w:val="24"/>
        </w:rPr>
        <w:t>。</w:t>
      </w:r>
    </w:p>
    <w:p>
      <w:pPr>
        <w:spacing w:line="360" w:lineRule="exact"/>
        <w:rPr>
          <w:rFonts w:asciiTheme="minorEastAsia" w:hAnsiTheme="minorEastAsia"/>
          <w:sz w:val="24"/>
          <w:szCs w:val="24"/>
        </w:rPr>
      </w:pPr>
    </w:p>
    <w:p>
      <w:pPr>
        <w:spacing w:line="360" w:lineRule="exact"/>
        <w:rPr>
          <w:rFonts w:ascii="Times New Roman" w:hAnsi="Times New Roman"/>
          <w:sz w:val="24"/>
        </w:rPr>
      </w:pPr>
      <w:r>
        <w:rPr>
          <w:rFonts w:ascii="Times New Roman" w:hAnsi="Times New Roman"/>
          <w:sz w:val="24"/>
        </w:rPr>
        <w:t>保证金户名：</w:t>
      </w:r>
      <w:r>
        <w:rPr>
          <w:rFonts w:hint="eastAsia" w:ascii="Times New Roman" w:hAnsi="Times New Roman"/>
          <w:sz w:val="24"/>
        </w:rPr>
        <w:t>重庆市开州区公共资源交易中心</w:t>
      </w:r>
      <w:r>
        <w:rPr>
          <w:rFonts w:ascii="Times New Roman" w:hAnsi="Times New Roman"/>
          <w:sz w:val="24"/>
        </w:rPr>
        <w:t xml:space="preserve">        开户行：</w:t>
      </w:r>
      <w:r>
        <w:rPr>
          <w:rFonts w:hint="eastAsia" w:ascii="Times New Roman" w:hAnsi="Times New Roman"/>
          <w:sz w:val="24"/>
        </w:rPr>
        <w:t>重庆农村商业银行股份有限公司开州支行</w:t>
      </w:r>
      <w:r>
        <w:rPr>
          <w:rFonts w:ascii="Times New Roman" w:hAnsi="Times New Roman"/>
          <w:sz w:val="24"/>
        </w:rPr>
        <w:t xml:space="preserve"> </w:t>
      </w:r>
      <w:r>
        <w:rPr>
          <w:rFonts w:hint="eastAsia" w:ascii="Times New Roman" w:hAnsi="Times New Roman"/>
          <w:sz w:val="24"/>
        </w:rPr>
        <w:t>账</w:t>
      </w:r>
      <w:r>
        <w:rPr>
          <w:rFonts w:ascii="Times New Roman" w:hAnsi="Times New Roman"/>
          <w:sz w:val="24"/>
        </w:rPr>
        <w:t xml:space="preserve">号： </w:t>
      </w:r>
      <w:r>
        <w:rPr>
          <w:rFonts w:hint="eastAsia" w:ascii="Times New Roman" w:hAnsi="Times New Roman"/>
          <w:sz w:val="24"/>
        </w:rPr>
        <w:t>3401010120010012772</w:t>
      </w:r>
      <w:r>
        <w:rPr>
          <w:rFonts w:ascii="Times New Roman" w:hAnsi="Times New Roman"/>
          <w:sz w:val="24"/>
        </w:rPr>
        <w:t>。</w:t>
      </w:r>
    </w:p>
    <w:p>
      <w:pPr>
        <w:spacing w:line="360" w:lineRule="exact"/>
        <w:rPr>
          <w:rFonts w:asciiTheme="minorEastAsia" w:hAnsiTheme="minorEastAsia"/>
          <w:sz w:val="24"/>
          <w:szCs w:val="24"/>
        </w:rPr>
      </w:pPr>
    </w:p>
    <w:p>
      <w:pPr>
        <w:spacing w:line="360" w:lineRule="exact"/>
        <w:rPr>
          <w:rFonts w:ascii="Times New Roman" w:hAnsi="Times New Roman"/>
          <w:sz w:val="24"/>
        </w:rPr>
      </w:pPr>
      <w:r>
        <w:rPr>
          <w:rFonts w:ascii="Times New Roman" w:hAnsi="Times New Roman"/>
          <w:sz w:val="24"/>
        </w:rPr>
        <w:t>保证金户名：</w:t>
      </w:r>
      <w:r>
        <w:rPr>
          <w:rFonts w:hint="eastAsia" w:ascii="Times New Roman" w:hAnsi="Times New Roman"/>
          <w:sz w:val="24"/>
        </w:rPr>
        <w:t>重庆市开州区公共资源交易中心</w:t>
      </w:r>
      <w:r>
        <w:rPr>
          <w:rFonts w:ascii="Times New Roman" w:hAnsi="Times New Roman"/>
          <w:sz w:val="24"/>
        </w:rPr>
        <w:t xml:space="preserve">        开户行：</w:t>
      </w:r>
      <w:r>
        <w:rPr>
          <w:rFonts w:hint="eastAsia" w:ascii="Times New Roman" w:hAnsi="Times New Roman"/>
          <w:sz w:val="24"/>
        </w:rPr>
        <w:t>重庆银行股份有限公司开州支行</w:t>
      </w:r>
      <w:r>
        <w:rPr>
          <w:rFonts w:ascii="Times New Roman" w:hAnsi="Times New Roman"/>
          <w:sz w:val="24"/>
        </w:rPr>
        <w:t xml:space="preserve"> </w:t>
      </w:r>
      <w:r>
        <w:rPr>
          <w:rFonts w:hint="eastAsia" w:ascii="Times New Roman" w:hAnsi="Times New Roman"/>
          <w:sz w:val="24"/>
        </w:rPr>
        <w:t>账</w:t>
      </w:r>
      <w:r>
        <w:rPr>
          <w:rFonts w:ascii="Times New Roman" w:hAnsi="Times New Roman"/>
          <w:sz w:val="24"/>
        </w:rPr>
        <w:t xml:space="preserve">号： </w:t>
      </w:r>
      <w:r>
        <w:rPr>
          <w:rFonts w:hint="eastAsia" w:ascii="Times New Roman" w:hAnsi="Times New Roman"/>
          <w:sz w:val="24"/>
        </w:rPr>
        <w:t>680101040007547</w:t>
      </w:r>
      <w:r>
        <w:rPr>
          <w:rFonts w:ascii="Times New Roman" w:hAnsi="Times New Roman"/>
          <w:sz w:val="24"/>
        </w:rPr>
        <w:t>。</w:t>
      </w:r>
    </w:p>
    <w:p>
      <w:pPr>
        <w:spacing w:line="360" w:lineRule="exact"/>
        <w:rPr>
          <w:rFonts w:asciiTheme="minorEastAsia" w:hAnsiTheme="minorEastAsia"/>
          <w:sz w:val="24"/>
          <w:szCs w:val="24"/>
        </w:rPr>
      </w:pPr>
    </w:p>
    <w:p>
      <w:pPr>
        <w:spacing w:line="360" w:lineRule="exact"/>
        <w:rPr>
          <w:rFonts w:ascii="Times New Roman" w:hAnsi="Times New Roman"/>
          <w:sz w:val="24"/>
        </w:rPr>
      </w:pPr>
      <w:r>
        <w:rPr>
          <w:rFonts w:ascii="Times New Roman" w:hAnsi="Times New Roman"/>
          <w:sz w:val="24"/>
        </w:rPr>
        <w:t>保证金户名：</w:t>
      </w:r>
      <w:r>
        <w:rPr>
          <w:rFonts w:hint="eastAsia" w:ascii="Times New Roman" w:hAnsi="Times New Roman"/>
          <w:sz w:val="24"/>
        </w:rPr>
        <w:t>重庆市开州区公共资源交易中心</w:t>
      </w:r>
      <w:r>
        <w:rPr>
          <w:rFonts w:ascii="Times New Roman" w:hAnsi="Times New Roman"/>
          <w:sz w:val="24"/>
        </w:rPr>
        <w:t xml:space="preserve">        开户行：</w:t>
      </w:r>
      <w:r>
        <w:rPr>
          <w:rFonts w:hint="eastAsia" w:ascii="Times New Roman" w:hAnsi="Times New Roman"/>
          <w:sz w:val="24"/>
        </w:rPr>
        <w:t>中国工商银行股份有限公司重庆开州支行</w:t>
      </w:r>
      <w:r>
        <w:rPr>
          <w:rFonts w:ascii="Times New Roman" w:hAnsi="Times New Roman"/>
          <w:sz w:val="24"/>
        </w:rPr>
        <w:t xml:space="preserve"> </w:t>
      </w:r>
      <w:r>
        <w:rPr>
          <w:rFonts w:hint="eastAsia" w:ascii="Times New Roman" w:hAnsi="Times New Roman"/>
          <w:sz w:val="24"/>
        </w:rPr>
        <w:t>账</w:t>
      </w:r>
      <w:r>
        <w:rPr>
          <w:rFonts w:ascii="Times New Roman" w:hAnsi="Times New Roman"/>
          <w:sz w:val="24"/>
        </w:rPr>
        <w:t xml:space="preserve">号： </w:t>
      </w:r>
      <w:r>
        <w:rPr>
          <w:rFonts w:hint="eastAsia" w:ascii="Times New Roman" w:hAnsi="Times New Roman"/>
          <w:sz w:val="24"/>
        </w:rPr>
        <w:t>3100017319200169657</w:t>
      </w:r>
      <w:r>
        <w:rPr>
          <w:rFonts w:ascii="Times New Roman" w:hAnsi="Times New Roman"/>
          <w:sz w:val="24"/>
        </w:rPr>
        <w:t>。</w:t>
      </w:r>
    </w:p>
    <w:p>
      <w:pPr>
        <w:spacing w:line="360" w:lineRule="exact"/>
        <w:rPr>
          <w:rFonts w:asciiTheme="minorEastAsia" w:hAnsiTheme="minorEastAsia"/>
          <w:sz w:val="24"/>
          <w:szCs w:val="24"/>
        </w:rPr>
      </w:pPr>
    </w:p>
    <w:p>
      <w:pPr>
        <w:spacing w:line="360" w:lineRule="exact"/>
        <w:rPr>
          <w:rFonts w:ascii="Times New Roman" w:hAnsi="Times New Roman"/>
          <w:sz w:val="24"/>
        </w:rPr>
      </w:pPr>
      <w:r>
        <w:rPr>
          <w:rFonts w:ascii="Times New Roman" w:hAnsi="Times New Roman"/>
          <w:sz w:val="24"/>
        </w:rPr>
        <w:t>保证金户名：</w:t>
      </w:r>
      <w:r>
        <w:rPr>
          <w:rFonts w:hint="eastAsia" w:ascii="Times New Roman" w:hAnsi="Times New Roman"/>
          <w:sz w:val="24"/>
        </w:rPr>
        <w:t>重庆市开州区公共资源交易中心</w:t>
      </w:r>
      <w:r>
        <w:rPr>
          <w:rFonts w:ascii="Times New Roman" w:hAnsi="Times New Roman"/>
          <w:sz w:val="24"/>
        </w:rPr>
        <w:t xml:space="preserve">        开户行：</w:t>
      </w:r>
      <w:r>
        <w:rPr>
          <w:rFonts w:hint="eastAsia" w:ascii="Times New Roman" w:hAnsi="Times New Roman"/>
          <w:sz w:val="24"/>
        </w:rPr>
        <w:t>中国银行股份有限公司重庆开州支行</w:t>
      </w:r>
      <w:r>
        <w:rPr>
          <w:rFonts w:ascii="Times New Roman" w:hAnsi="Times New Roman"/>
          <w:sz w:val="24"/>
        </w:rPr>
        <w:t xml:space="preserve"> </w:t>
      </w:r>
      <w:r>
        <w:rPr>
          <w:rFonts w:hint="eastAsia" w:ascii="Times New Roman" w:hAnsi="Times New Roman"/>
          <w:sz w:val="24"/>
        </w:rPr>
        <w:t>账</w:t>
      </w:r>
      <w:r>
        <w:rPr>
          <w:rFonts w:ascii="Times New Roman" w:hAnsi="Times New Roman"/>
          <w:sz w:val="24"/>
        </w:rPr>
        <w:t xml:space="preserve">号： </w:t>
      </w:r>
      <w:r>
        <w:rPr>
          <w:rFonts w:hint="eastAsia" w:ascii="Times New Roman" w:hAnsi="Times New Roman"/>
          <w:sz w:val="24"/>
        </w:rPr>
        <w:t>108865555576</w:t>
      </w:r>
      <w:r>
        <w:rPr>
          <w:rFonts w:ascii="Times New Roman" w:hAnsi="Times New Roman"/>
          <w:sz w:val="24"/>
        </w:rPr>
        <w:t>。</w:t>
      </w:r>
    </w:p>
    <w:p>
      <w:pPr>
        <w:spacing w:line="360" w:lineRule="exact"/>
        <w:rPr>
          <w:rFonts w:ascii="Times New Roman" w:hAnsi="Times New Roman"/>
          <w:sz w:val="24"/>
        </w:rPr>
      </w:pPr>
    </w:p>
    <w:p>
      <w:pPr>
        <w:spacing w:line="360" w:lineRule="exact"/>
        <w:ind w:right="718" w:rightChars="342" w:firstLine="403" w:firstLineChars="168"/>
        <w:rPr>
          <w:rFonts w:ascii="Times New Roman" w:hAnsi="Times New Roman"/>
          <w:sz w:val="24"/>
        </w:rPr>
      </w:pPr>
      <w:r>
        <w:rPr>
          <w:rFonts w:ascii="Times New Roman" w:hAnsi="Times New Roman"/>
          <w:sz w:val="24"/>
        </w:rPr>
        <w:t>竞买保证金到账截止时间为</w:t>
      </w:r>
      <w:r>
        <w:rPr>
          <w:rFonts w:hint="eastAsia" w:ascii="Times New Roman" w:hAnsi="Times New Roman"/>
          <w:sz w:val="24"/>
        </w:rPr>
        <w:t>2023年02月01日17时</w:t>
      </w:r>
      <w:r>
        <w:rPr>
          <w:rFonts w:ascii="Times New Roman" w:hAnsi="Times New Roman"/>
          <w:sz w:val="24"/>
        </w:rPr>
        <w:t>。</w:t>
      </w:r>
      <w:r>
        <w:rPr>
          <w:rFonts w:hint="eastAsia" w:ascii="Times New Roman" w:hAnsi="Times New Roman"/>
          <w:sz w:val="24"/>
        </w:rPr>
        <w:t>如成功竞得，已缴纳的保证金可抵作探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right="718" w:rightChars="342"/>
        <w:jc w:val="left"/>
        <w:rPr>
          <w:rFonts w:ascii="Times New Roman" w:hAnsi="Times New Roman"/>
          <w:sz w:val="24"/>
        </w:rPr>
      </w:pPr>
      <w:r>
        <w:rPr>
          <w:rFonts w:ascii="Times New Roman" w:hAnsi="Times New Roman"/>
          <w:sz w:val="24"/>
        </w:rPr>
        <w:t>三、探矿权出让收益缴纳方式：</w:t>
      </w:r>
    </w:p>
    <w:p>
      <w:pPr>
        <w:spacing w:line="360" w:lineRule="exact"/>
        <w:ind w:right="718" w:rightChars="342"/>
        <w:rPr>
          <w:rFonts w:ascii="Times New Roman" w:hAnsi="Times New Roman"/>
          <w:sz w:val="24"/>
        </w:rPr>
      </w:pPr>
      <w:r>
        <w:rPr>
          <w:rFonts w:ascii="Times New Roman" w:hAnsi="Times New Roman"/>
          <w:sz w:val="24"/>
        </w:rPr>
        <w:t>四、探矿权竞买申请人资格要求：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（一）竞买申请人须为依法登记的营利法人或者非营利法人中的事业单位法人；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i/>
          <w:iCs/>
          <w:sz w:val="24"/>
        </w:rPr>
      </w:pPr>
      <w:r>
        <w:rPr>
          <w:rFonts w:hint="eastAsia" w:ascii="Times New Roman" w:hAnsi="Times New Roman"/>
          <w:i/>
          <w:iCs/>
          <w:sz w:val="24"/>
        </w:rPr>
        <w:t>（三）</w:t>
      </w:r>
      <w:r>
        <w:rPr>
          <w:rFonts w:hint="eastAsia" w:ascii="Times New Roman" w:hAnsi="Times New Roman"/>
          <w:sz w:val="24"/>
        </w:rPr>
        <w:t>信誉要求：竞买申请人在参加本次探矿权出让竞拍前三年内，在经营活动中没有重大违法记录，无不良记录、无负面社会影响（自行承诺并加盖竞买申请人单位公章），同时提供未被列入“信用中国”（www.creditchina.gov.cn）失信被执行人、企业经营异常名录、重大税收违法案件当事人名单（共3张截图）。</w:t>
      </w:r>
    </w:p>
    <w:p>
      <w:pPr>
        <w:spacing w:line="360" w:lineRule="exact"/>
        <w:ind w:right="718" w:rightChars="342"/>
        <w:rPr>
          <w:rFonts w:ascii="Times New Roman" w:hAnsi="Times New Roman"/>
          <w:sz w:val="24"/>
        </w:rPr>
      </w:pPr>
      <w:r>
        <w:rPr>
          <w:rFonts w:ascii="Times New Roman" w:hAnsi="Times New Roman"/>
          <w:sz w:val="24"/>
        </w:rPr>
        <w:t>五、风险提示：</w:t>
      </w:r>
    </w:p>
    <w:p>
      <w:pPr>
        <w:spacing w:line="360" w:lineRule="exact"/>
        <w:ind w:firstLine="480" w:firstLineChars="200"/>
        <w:rPr>
          <w:rFonts w:ascii="Times New Roman" w:hAnsi="Times New Roman"/>
          <w:kern w:val="0"/>
          <w:sz w:val="24"/>
        </w:rPr>
      </w:pPr>
      <w:r>
        <w:rPr>
          <w:rFonts w:ascii="Times New Roman" w:hAnsi="Times New Roman"/>
          <w:kern w:val="0"/>
          <w:sz w:val="24"/>
        </w:rPr>
        <w:t>（一）本探矿权区块范围内，可能存在有基本农田及建设项目，竞得人进行的勘查活动不得占用基本农田和改变基本农田现状，不能对已有建设项目造成不良影响。</w:t>
      </w:r>
    </w:p>
    <w:p>
      <w:pPr>
        <w:spacing w:line="360" w:lineRule="exact"/>
        <w:ind w:firstLine="480" w:firstLineChars="200"/>
        <w:rPr>
          <w:rFonts w:ascii="Times New Roman" w:hAnsi="Times New Roman"/>
          <w:kern w:val="0"/>
          <w:sz w:val="24"/>
        </w:rPr>
      </w:pPr>
      <w:r>
        <w:rPr>
          <w:rFonts w:ascii="Times New Roman" w:hAnsi="Times New Roman"/>
          <w:kern w:val="0"/>
          <w:sz w:val="24"/>
        </w:rPr>
        <w:t>（二）竞得人因地质勘查工作的实际需要，有关该宗探矿权的用地、用水、用电、公路、环保、基础设施等工作，由竞得人自行负责并依法完善相关手续。</w:t>
      </w:r>
    </w:p>
    <w:p>
      <w:pPr>
        <w:spacing w:line="360" w:lineRule="exact"/>
        <w:ind w:firstLine="480" w:firstLineChars="200"/>
        <w:rPr>
          <w:rFonts w:ascii="Times New Roman" w:hAnsi="Times New Roman"/>
          <w:kern w:val="0"/>
          <w:sz w:val="24"/>
        </w:rPr>
      </w:pPr>
      <w:r>
        <w:rPr>
          <w:rFonts w:ascii="Times New Roman" w:hAnsi="Times New Roman"/>
          <w:kern w:val="0"/>
          <w:sz w:val="24"/>
        </w:rPr>
        <w:t>（三）竞得人须在取得了勘查许可证获得后方可开展勘查工作，并且在勘查、经营活动中应严格遵守相关的法律法规，如发生违反法律法规的行为，自然资源主管部门将依法给予包括吊销勘查许可证在内的行政处罚，由此产生的法律后果由竞得人承担，出让人不退还已收取的探矿权出让收益等相关费用。</w:t>
      </w:r>
    </w:p>
    <w:p>
      <w:pPr>
        <w:spacing w:line="360" w:lineRule="exact"/>
        <w:ind w:firstLine="480" w:firstLineChars="200"/>
        <w:rPr>
          <w:rFonts w:ascii="Times New Roman" w:hAnsi="Times New Roman"/>
          <w:kern w:val="0"/>
          <w:sz w:val="24"/>
        </w:rPr>
      </w:pPr>
      <w:r>
        <w:rPr>
          <w:rFonts w:ascii="Times New Roman" w:hAnsi="Times New Roman"/>
          <w:kern w:val="0"/>
          <w:sz w:val="24"/>
        </w:rPr>
        <w:t>（四）非因出让人过失造成的探矿权损减（包含但不限于勘查区块面积缩减、勘查许可证废止、勘查许可证被吊销、出让合同终止等），出让人已经收取的探矿权出让收益等费用一律不予退还。</w:t>
      </w:r>
    </w:p>
    <w:p>
      <w:pPr>
        <w:spacing w:line="360" w:lineRule="exact"/>
        <w:ind w:firstLine="480" w:firstLineChars="200"/>
        <w:rPr>
          <w:rFonts w:ascii="Times New Roman" w:hAnsi="Times New Roman"/>
          <w:kern w:val="0"/>
          <w:sz w:val="24"/>
        </w:rPr>
      </w:pPr>
      <w:r>
        <w:rPr>
          <w:rFonts w:ascii="Times New Roman" w:hAnsi="Times New Roman"/>
          <w:kern w:val="0"/>
          <w:sz w:val="24"/>
        </w:rPr>
        <w:t>（五）矿产资源勘查有着不可预见的风险，竞买申请人须慎重并自行承担风险。出现包含但不限于下列的情形，出让人不退还已收取的探矿权出让收益等相关费用。</w:t>
      </w:r>
    </w:p>
    <w:p>
      <w:pPr>
        <w:spacing w:line="360" w:lineRule="exact"/>
        <w:ind w:firstLine="480" w:firstLineChars="200"/>
        <w:rPr>
          <w:rFonts w:ascii="Times New Roman" w:hAnsi="Times New Roman"/>
          <w:kern w:val="0"/>
          <w:sz w:val="24"/>
        </w:rPr>
      </w:pPr>
      <w:r>
        <w:rPr>
          <w:rFonts w:ascii="Times New Roman" w:hAnsi="Times New Roman"/>
          <w:kern w:val="0"/>
          <w:sz w:val="24"/>
        </w:rPr>
        <w:t>1．在勘查许可证载明的区块范围和有效期限内,不能找到可供开采的矿产资源；</w:t>
      </w:r>
    </w:p>
    <w:p>
      <w:pPr>
        <w:spacing w:line="360" w:lineRule="exact"/>
        <w:ind w:firstLine="480" w:firstLineChars="200"/>
        <w:rPr>
          <w:rFonts w:ascii="Times New Roman" w:hAnsi="Times New Roman"/>
          <w:kern w:val="0"/>
          <w:sz w:val="24"/>
        </w:rPr>
      </w:pPr>
      <w:r>
        <w:rPr>
          <w:rFonts w:ascii="Times New Roman" w:hAnsi="Times New Roman"/>
          <w:kern w:val="0"/>
          <w:sz w:val="24"/>
        </w:rPr>
        <w:t>2．法律法规修改或国家政策变化、矿产资源规划调整对探矿权造成不利影响；</w:t>
      </w:r>
    </w:p>
    <w:p>
      <w:pPr>
        <w:spacing w:line="360" w:lineRule="exact"/>
        <w:ind w:firstLine="480" w:firstLineChars="200"/>
        <w:rPr>
          <w:rFonts w:ascii="Times New Roman" w:hAnsi="Times New Roman"/>
          <w:kern w:val="0"/>
          <w:sz w:val="24"/>
        </w:rPr>
      </w:pPr>
      <w:r>
        <w:rPr>
          <w:rFonts w:ascii="Times New Roman" w:hAnsi="Times New Roman"/>
          <w:kern w:val="0"/>
          <w:sz w:val="24"/>
        </w:rPr>
        <w:t>3．以往开展的地质工作及形成的地质勘查资料存在瑕疵；</w:t>
      </w:r>
    </w:p>
    <w:p>
      <w:pPr>
        <w:spacing w:line="360" w:lineRule="exact"/>
        <w:ind w:firstLine="480" w:firstLineChars="200"/>
        <w:rPr>
          <w:rFonts w:ascii="Times New Roman" w:hAnsi="Times New Roman"/>
          <w:kern w:val="0"/>
          <w:sz w:val="24"/>
        </w:rPr>
      </w:pPr>
      <w:r>
        <w:rPr>
          <w:rFonts w:ascii="Times New Roman" w:hAnsi="Times New Roman"/>
          <w:kern w:val="0"/>
          <w:sz w:val="24"/>
        </w:rPr>
        <w:t>4．包括但不限于安全、环境保护、产业政策等要求,对特定探矿手段、选矿方法的限制或不能转为采矿权的；</w:t>
      </w:r>
    </w:p>
    <w:p>
      <w:pPr>
        <w:spacing w:line="360" w:lineRule="exact"/>
        <w:ind w:firstLine="480" w:firstLineChars="200"/>
        <w:rPr>
          <w:rFonts w:ascii="Times New Roman" w:hAnsi="Times New Roman"/>
          <w:kern w:val="0"/>
          <w:sz w:val="24"/>
        </w:rPr>
      </w:pPr>
      <w:r>
        <w:rPr>
          <w:rFonts w:ascii="Times New Roman" w:hAnsi="Times New Roman"/>
          <w:kern w:val="0"/>
          <w:sz w:val="24"/>
        </w:rPr>
        <w:t>5．不可抗力的影响。</w:t>
      </w:r>
    </w:p>
    <w:p>
      <w:pPr>
        <w:spacing w:line="360" w:lineRule="exact"/>
        <w:rPr>
          <w:rFonts w:ascii="Times New Roman" w:hAnsi="Times New Roman"/>
          <w:kern w:val="0"/>
          <w:sz w:val="24"/>
        </w:rPr>
      </w:pPr>
      <w:r>
        <w:rPr>
          <w:rFonts w:ascii="Times New Roman" w:hAnsi="Times New Roman"/>
          <w:sz w:val="24"/>
        </w:rPr>
        <w:t>六、</w:t>
      </w:r>
      <w:r>
        <w:rPr>
          <w:rFonts w:ascii="Times New Roman" w:hAnsi="Times New Roman"/>
          <w:kern w:val="0"/>
          <w:sz w:val="24"/>
        </w:rPr>
        <w:t>提出异议的方式与途径：</w:t>
      </w:r>
    </w:p>
    <w:p>
      <w:pPr>
        <w:spacing w:line="360" w:lineRule="exact"/>
        <w:ind w:right="718" w:rightChars="342" w:firstLine="480" w:firstLineChars="200"/>
        <w:rPr>
          <w:rFonts w:ascii="Times New Roman" w:hAnsi="Times New Roman"/>
          <w:sz w:val="24"/>
        </w:rPr>
      </w:pPr>
      <w:r>
        <w:rPr>
          <w:rFonts w:ascii="Times New Roman" w:hAnsi="Times New Roman"/>
          <w:kern w:val="0"/>
          <w:sz w:val="24"/>
        </w:rPr>
        <w:t>对本次出让的</w:t>
      </w:r>
      <w:r>
        <w:rPr>
          <w:rFonts w:hint="eastAsia" w:ascii="Times New Roman" w:hAnsi="Times New Roman"/>
          <w:kern w:val="0"/>
          <w:sz w:val="24"/>
        </w:rPr>
        <w:t>探</w:t>
      </w:r>
      <w:r>
        <w:rPr>
          <w:rFonts w:ascii="Times New Roman" w:hAnsi="Times New Roman"/>
          <w:kern w:val="0"/>
          <w:sz w:val="24"/>
        </w:rPr>
        <w:t>矿权存有异议的，应在公示期截止前以书面方式向</w:t>
      </w:r>
      <w:r>
        <w:rPr>
          <w:rFonts w:hint="eastAsia" w:ascii="Times New Roman" w:hAnsi="Times New Roman"/>
          <w:sz w:val="24"/>
        </w:rPr>
        <w:t>重庆市开州区规划和自然资源局</w:t>
      </w:r>
      <w:r>
        <w:rPr>
          <w:rFonts w:ascii="Times New Roman" w:hAnsi="Times New Roman"/>
          <w:kern w:val="0"/>
          <w:sz w:val="24"/>
        </w:rPr>
        <w:t>提出；对出让交易程序存有异议的，应在公示期截止前以书面方式向</w:t>
      </w:r>
      <w:r>
        <w:rPr>
          <w:rFonts w:hint="eastAsia" w:ascii="Times New Roman" w:hAnsi="Times New Roman"/>
          <w:sz w:val="24"/>
        </w:rPr>
        <w:t>重庆市开州区公共资源交易中心</w:t>
      </w:r>
      <w:r>
        <w:rPr>
          <w:rFonts w:ascii="Times New Roman" w:hAnsi="Times New Roman"/>
          <w:kern w:val="0"/>
          <w:sz w:val="24"/>
        </w:rPr>
        <w:t>提出。根据所提异议的具体情况，按照</w:t>
      </w:r>
      <w:r>
        <w:rPr>
          <w:rFonts w:ascii="Times New Roman" w:hAnsi="Times New Roman"/>
          <w:sz w:val="24"/>
        </w:rPr>
        <w:t>《矿业权交易规则》等相关规定进行妥善处置。</w:t>
      </w:r>
    </w:p>
    <w:p>
      <w:pPr>
        <w:spacing w:line="360" w:lineRule="exact"/>
        <w:ind w:right="718" w:rightChars="342"/>
        <w:rPr>
          <w:rFonts w:ascii="Times New Roman" w:hAnsi="Times New Roman"/>
          <w:sz w:val="24"/>
        </w:rPr>
      </w:pPr>
      <w:r>
        <w:rPr>
          <w:rFonts w:hint="eastAsia" w:ascii="Times New Roman" w:hAnsi="Times New Roman"/>
          <w:sz w:val="24"/>
        </w:rPr>
        <w:t>七、</w:t>
      </w:r>
      <w:r>
        <w:rPr>
          <w:rFonts w:ascii="Times New Roman" w:hAnsi="Times New Roman"/>
          <w:sz w:val="24"/>
        </w:rPr>
        <w:t>其他重要提示：</w:t>
      </w:r>
    </w:p>
    <w:p>
      <w:pPr>
        <w:spacing w:line="360" w:lineRule="exact"/>
        <w:ind w:firstLine="480" w:firstLineChars="200"/>
        <w:rPr>
          <w:rFonts w:hint="eastAsia" w:ascii="Times New Roman" w:hAnsi="Times New Roman"/>
          <w:sz w:val="24"/>
        </w:rPr>
      </w:pPr>
      <w:r>
        <w:rPr>
          <w:rFonts w:hint="eastAsia" w:ascii="Times New Roman" w:hAnsi="Times New Roman"/>
          <w:sz w:val="24"/>
        </w:rPr>
        <w:t>（一）竞得人在探矿权区块范围内开展勘查工作应按照《矿山地质环境保护规定》履行矿山地质环境保护相关义务。</w:t>
      </w:r>
    </w:p>
    <w:p>
      <w:pPr>
        <w:spacing w:line="360" w:lineRule="exact"/>
        <w:ind w:firstLine="480" w:firstLineChars="200"/>
        <w:rPr>
          <w:rFonts w:hint="eastAsia" w:ascii="Times New Roman" w:hAnsi="Times New Roman"/>
          <w:sz w:val="24"/>
        </w:rPr>
      </w:pPr>
      <w:r>
        <w:rPr>
          <w:rFonts w:hint="eastAsia" w:ascii="Times New Roman" w:hAnsi="Times New Roman"/>
          <w:sz w:val="24"/>
        </w:rPr>
        <w:t>（二）按照国家和重庆市有关规定，本次出让的探矿权在转采矿权后需缴纳采矿权出让收益的应按规定缴纳。</w:t>
      </w:r>
    </w:p>
    <w:p>
      <w:pPr>
        <w:spacing w:line="360" w:lineRule="exact"/>
        <w:ind w:firstLine="480" w:firstLineChars="200"/>
        <w:rPr>
          <w:rFonts w:hint="eastAsia" w:ascii="Times New Roman" w:hAnsi="Times New Roman"/>
          <w:sz w:val="24"/>
        </w:rPr>
      </w:pPr>
      <w:r>
        <w:rPr>
          <w:rFonts w:hint="eastAsia" w:ascii="Times New Roman" w:hAnsi="Times New Roman"/>
          <w:sz w:val="24"/>
        </w:rPr>
        <w:t>（三）开发利用要求：开采方式为钻井开采，具体开发利用方案由竞得人竞得后，要补充做物探工作，实测勘探剖面，根据相关规定编制实施方案（包含钻井方案）报审，通过后方可开展钻井工作。竞得人须在取得了勘查许可证获得后方可开展勘查工作，并且在勘查、经营活动中应严格遵守相关的法律法规，如发生违反法律法规的行为，自然资源主管部门将依法给予包括吊销勘查许可证在内的行政处罚，由此产生的法律后果由竞得人承担，出让人不退还已收取的探矿权出让收益等相关费用。</w:t>
      </w:r>
    </w:p>
    <w:p>
      <w:pPr>
        <w:spacing w:line="360" w:lineRule="exact"/>
        <w:ind w:firstLine="480" w:firstLineChars="200"/>
        <w:rPr>
          <w:rFonts w:ascii="Times New Roman" w:hAnsi="Times New Roman"/>
          <w:sz w:val="24"/>
        </w:rPr>
      </w:pPr>
      <w:r>
        <w:rPr>
          <w:rFonts w:hint="eastAsia" w:ascii="Times New Roman" w:hAnsi="Times New Roman"/>
          <w:sz w:val="24"/>
        </w:rPr>
        <w:t xml:space="preserve">（四）竞买保证金缴纳：竞买申请人应在公告期内交纳竞买保证金，保证金账户和账号详见《竞买须知》，交款人须与竞买申请人一致，保证金账户只接受银行转账或电汇方式，不接受现金、现金汇款等方式，不接受代交款和个人名义交款。 </w:t>
      </w:r>
    </w:p>
    <w:p>
      <w:pPr>
        <w:spacing w:line="360" w:lineRule="exact"/>
        <w:ind w:firstLine="480" w:firstLineChars="200"/>
        <w:jc w:val="right"/>
        <w:rPr>
          <w:rFonts w:hint="eastAsia" w:ascii="Times New Roman" w:hAnsi="Times New Roman"/>
          <w:kern w:val="0"/>
          <w:sz w:val="24"/>
        </w:rPr>
      </w:pPr>
    </w:p>
    <w:p>
      <w:pPr>
        <w:spacing w:line="360" w:lineRule="exact"/>
        <w:ind w:firstLine="480" w:firstLineChars="200"/>
        <w:jc w:val="right"/>
        <w:rPr>
          <w:rFonts w:ascii="宋体" w:hAnsi="宋体"/>
          <w:color w:val="000000"/>
          <w:sz w:val="32"/>
          <w:szCs w:val="32"/>
        </w:rPr>
      </w:pPr>
      <w:r>
        <w:rPr>
          <w:rFonts w:hint="eastAsia" w:ascii="Times New Roman" w:hAnsi="Times New Roman"/>
          <w:kern w:val="0"/>
          <w:sz w:val="24"/>
        </w:rPr>
        <w:t>重庆市开州区规划和自然资源局​​​</w:t>
      </w:r>
    </w:p>
    <w:sectPr>
      <w:pgSz w:w="16838" w:h="11906" w:orient="landscape"/>
      <w:pgMar w:top="1800" w:right="1440" w:bottom="180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Helvetica">
    <w:altName w:val="Arial"/>
    <w:panose1 w:val="020B0604020202020204"/>
    <w:charset w:val="00"/>
    <w:family w:val="swiss"/>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62F1D35"/>
    <w:rsid w:val="00015C20"/>
    <w:rsid w:val="000669CC"/>
    <w:rsid w:val="00076A12"/>
    <w:rsid w:val="000C142A"/>
    <w:rsid w:val="000D4C1F"/>
    <w:rsid w:val="00102BED"/>
    <w:rsid w:val="00114D1D"/>
    <w:rsid w:val="00157CCA"/>
    <w:rsid w:val="0018253D"/>
    <w:rsid w:val="00190441"/>
    <w:rsid w:val="001B7285"/>
    <w:rsid w:val="00216F07"/>
    <w:rsid w:val="00244556"/>
    <w:rsid w:val="0027714A"/>
    <w:rsid w:val="002B5E92"/>
    <w:rsid w:val="002C08F4"/>
    <w:rsid w:val="002C221A"/>
    <w:rsid w:val="00377E56"/>
    <w:rsid w:val="0038191F"/>
    <w:rsid w:val="00393E5E"/>
    <w:rsid w:val="003B6681"/>
    <w:rsid w:val="003D4D02"/>
    <w:rsid w:val="003E0B2B"/>
    <w:rsid w:val="003E7D63"/>
    <w:rsid w:val="00412B0B"/>
    <w:rsid w:val="00467F3B"/>
    <w:rsid w:val="004A5EAF"/>
    <w:rsid w:val="004B29BD"/>
    <w:rsid w:val="004E5E23"/>
    <w:rsid w:val="005166E9"/>
    <w:rsid w:val="00530024"/>
    <w:rsid w:val="00565B0D"/>
    <w:rsid w:val="0059403C"/>
    <w:rsid w:val="005F129A"/>
    <w:rsid w:val="006026F3"/>
    <w:rsid w:val="00623448"/>
    <w:rsid w:val="006666B2"/>
    <w:rsid w:val="00684526"/>
    <w:rsid w:val="006F2AD0"/>
    <w:rsid w:val="00735008"/>
    <w:rsid w:val="00752586"/>
    <w:rsid w:val="007877CF"/>
    <w:rsid w:val="007D4D29"/>
    <w:rsid w:val="007E5C52"/>
    <w:rsid w:val="008069A8"/>
    <w:rsid w:val="008232CE"/>
    <w:rsid w:val="00826F54"/>
    <w:rsid w:val="00874773"/>
    <w:rsid w:val="00893E77"/>
    <w:rsid w:val="008D7DE3"/>
    <w:rsid w:val="0091416A"/>
    <w:rsid w:val="009B2ED9"/>
    <w:rsid w:val="00A15105"/>
    <w:rsid w:val="00A16AFC"/>
    <w:rsid w:val="00A16C5B"/>
    <w:rsid w:val="00A314C7"/>
    <w:rsid w:val="00A40687"/>
    <w:rsid w:val="00A67D27"/>
    <w:rsid w:val="00A8679C"/>
    <w:rsid w:val="00A906C8"/>
    <w:rsid w:val="00AA0435"/>
    <w:rsid w:val="00AD1F61"/>
    <w:rsid w:val="00AE6384"/>
    <w:rsid w:val="00AF168E"/>
    <w:rsid w:val="00B27535"/>
    <w:rsid w:val="00B5756C"/>
    <w:rsid w:val="00B84A1B"/>
    <w:rsid w:val="00B93624"/>
    <w:rsid w:val="00BB29A6"/>
    <w:rsid w:val="00BC2965"/>
    <w:rsid w:val="00C02290"/>
    <w:rsid w:val="00CA4B6F"/>
    <w:rsid w:val="00D02A56"/>
    <w:rsid w:val="00D12FD7"/>
    <w:rsid w:val="00D4632F"/>
    <w:rsid w:val="00D55379"/>
    <w:rsid w:val="00DE365D"/>
    <w:rsid w:val="00DF1434"/>
    <w:rsid w:val="00E16185"/>
    <w:rsid w:val="00E55D11"/>
    <w:rsid w:val="00E7278E"/>
    <w:rsid w:val="00E81897"/>
    <w:rsid w:val="00E860C2"/>
    <w:rsid w:val="00E96856"/>
    <w:rsid w:val="00F529C9"/>
    <w:rsid w:val="00FB6553"/>
    <w:rsid w:val="011A5777"/>
    <w:rsid w:val="0D340E7A"/>
    <w:rsid w:val="13FB728B"/>
    <w:rsid w:val="162F1D35"/>
    <w:rsid w:val="222D04BC"/>
    <w:rsid w:val="29222C24"/>
    <w:rsid w:val="2D883F74"/>
    <w:rsid w:val="2E40409B"/>
    <w:rsid w:val="3423731C"/>
    <w:rsid w:val="38AC0EEB"/>
    <w:rsid w:val="38F93A7D"/>
    <w:rsid w:val="3BB01B40"/>
    <w:rsid w:val="3E5371A0"/>
    <w:rsid w:val="442C60C4"/>
    <w:rsid w:val="48911910"/>
    <w:rsid w:val="584D6BFE"/>
    <w:rsid w:val="5C331406"/>
    <w:rsid w:val="600E4B02"/>
    <w:rsid w:val="61C47D8B"/>
    <w:rsid w:val="66E42662"/>
    <w:rsid w:val="72A80280"/>
    <w:rsid w:val="75E757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59" w:lineRule="auto"/>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next w:val="4"/>
    <w:qFormat/>
    <w:uiPriority w:val="0"/>
    <w:rPr>
      <w:rFonts w:eastAsia="仿宋_GB2312"/>
      <w:kern w:val="0"/>
      <w:sz w:val="32"/>
    </w:rPr>
  </w:style>
  <w:style w:type="paragraph" w:customStyle="1" w:styleId="4">
    <w:name w:val="默认"/>
    <w:qFormat/>
    <w:uiPriority w:val="0"/>
    <w:rPr>
      <w:rFonts w:ascii="Helvetica" w:hAnsi="Helvetica" w:eastAsia="宋体" w:cs="Helvetica"/>
      <w:color w:val="000000"/>
      <w:sz w:val="22"/>
      <w:szCs w:val="22"/>
      <w:lang w:val="en-US" w:eastAsia="zh-CN" w:bidi="ar-SA"/>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0">
    <w:name w:val="Strong"/>
    <w:qFormat/>
    <w:uiPriority w:val="22"/>
    <w:rPr>
      <w:b/>
      <w:bCs/>
    </w:rPr>
  </w:style>
  <w:style w:type="character" w:styleId="11">
    <w:name w:val="page number"/>
    <w:basedOn w:val="9"/>
    <w:qFormat/>
    <w:uiPriority w:val="0"/>
  </w:style>
  <w:style w:type="table" w:customStyle="1" w:styleId="12">
    <w:name w:val="网格型1"/>
    <w:basedOn w:val="8"/>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13">
    <w:name w:val="页眉 Char"/>
    <w:basedOn w:val="9"/>
    <w:link w:val="6"/>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1687</Words>
  <Characters>9617</Characters>
  <Lines>80</Lines>
  <Paragraphs>22</Paragraphs>
  <TotalTime>1</TotalTime>
  <ScaleCrop>false</ScaleCrop>
  <LinksUpToDate>false</LinksUpToDate>
  <CharactersWithSpaces>11282</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2020-06-01T01:56:00Z</dcterms:created>
  <dc:creator>lihuan</dc:creator>
  <cp:lastModifiedBy>赵国华</cp:lastModifiedBy>
  <dcterms:modified xsi:type="dcterms:W3CDTF">2022-12-30T01:43:20Z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