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渝矿探出字〔2023〕（璧山）1号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2023年03月16日09时</w:t>
      </w:r>
      <w:r>
        <w:rPr>
          <w:rFonts w:hint="eastAsia" w:ascii="Times New Roman" w:hAnsi="Times New Roman"/>
          <w:sz w:val="24"/>
        </w:rPr>
        <w:t>至</w:t>
      </w:r>
      <w:r>
        <w:rPr>
          <w:rFonts w:hint="eastAsia" w:ascii="Times New Roman" w:hAnsi="Times New Roman"/>
          <w:sz w:val="24"/>
          <w:u w:val="single"/>
        </w:rPr>
        <w:t>2023年04月14日11时</w:t>
      </w:r>
      <w:r>
        <w:rPr>
          <w:rFonts w:ascii="Times New Roman" w:hAnsi="Times New Roman"/>
          <w:sz w:val="24"/>
        </w:rPr>
        <w:t>。本次公开出让的探矿权采用现场</w:t>
      </w:r>
      <w:r>
        <w:rPr>
          <w:rFonts w:hint="eastAsia" w:ascii="Times New Roman" w:hAnsi="Times New Roman"/>
          <w:sz w:val="24"/>
        </w:rPr>
        <w:t>拍卖</w:t>
      </w:r>
      <w:r>
        <w:rPr>
          <w:rFonts w:ascii="Times New Roman" w:hAnsi="Times New Roman"/>
          <w:sz w:val="24"/>
        </w:rPr>
        <w:t>交易，出让详细资料和具体要求，竞买申请人可在公告截止前到</w:t>
      </w:r>
      <w:r>
        <w:rPr>
          <w:rFonts w:hint="eastAsia" w:asciiTheme="minorEastAsia" w:hAnsiTheme="minorEastAsia"/>
          <w:sz w:val="24"/>
        </w:rPr>
        <w:t>重庆市璧山区公共资源交易中心</w:t>
      </w:r>
      <w:r>
        <w:rPr>
          <w:rFonts w:ascii="Times New Roman" w:hAnsi="Times New Roman"/>
          <w:sz w:val="24"/>
        </w:rPr>
        <w:t>索取相关资料并进行报名。</w:t>
      </w:r>
      <w:r>
        <w:rPr>
          <w:rFonts w:asciiTheme="minorEastAsia" w:hAnsiTheme="minorEastAsia"/>
          <w:sz w:val="24"/>
        </w:rPr>
        <w:t>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同步发布的网站：重庆市规划和自然资源局网站：http://ghzrzyj.cq.gov.cn、重庆市璧山区公共资源交易中心</w:t>
      </w:r>
      <w:r>
        <w:rPr>
          <w:rFonts w:asciiTheme="minorEastAsia" w:hAnsiTheme="minorEastAsia"/>
          <w:sz w:val="24"/>
        </w:rPr>
        <w:t>网站：</w:t>
      </w:r>
      <w:r>
        <w:rPr>
          <w:rFonts w:hint="eastAsia" w:asciiTheme="minorEastAsia" w:hAnsiTheme="minorEastAsia"/>
          <w:sz w:val="24"/>
        </w:rPr>
        <w:t>http://222.179.44.149:5000/、全国公共资源交易平台重庆市公共资源交易网（璧山区） https://www.cqggzy.com/bishanweb/</w:t>
      </w:r>
      <w:r>
        <w:rPr>
          <w:rFonts w:ascii="Times New Roman" w:hAnsi="Times New Roman"/>
          <w:sz w:val="24"/>
        </w:rPr>
        <w:t>。</w:t>
      </w:r>
    </w:p>
    <w:tbl>
      <w:tblPr>
        <w:tblStyle w:val="5"/>
        <w:tblW w:w="14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2655"/>
        <w:gridCol w:w="2017"/>
        <w:gridCol w:w="832"/>
        <w:gridCol w:w="1936"/>
        <w:gridCol w:w="1361"/>
        <w:gridCol w:w="1090"/>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899" w:type="dxa"/>
            <w:vAlign w:val="center"/>
          </w:tcPr>
          <w:p>
            <w:pPr>
              <w:jc w:val="center"/>
              <w:rPr>
                <w:rFonts w:ascii="Times New Roman" w:hAnsi="Times New Roman"/>
                <w:szCs w:val="21"/>
              </w:rPr>
            </w:pPr>
            <w:r>
              <w:rPr>
                <w:rFonts w:ascii="Times New Roman" w:hAnsi="Times New Roman"/>
                <w:szCs w:val="21"/>
              </w:rPr>
              <w:t>序号</w:t>
            </w:r>
          </w:p>
        </w:tc>
        <w:tc>
          <w:tcPr>
            <w:tcW w:w="2655"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2017"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32"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1936"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36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090"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99" w:type="dxa"/>
            <w:vAlign w:val="center"/>
          </w:tcPr>
          <w:p>
            <w:pPr>
              <w:jc w:val="center"/>
              <w:rPr>
                <w:rFonts w:ascii="Times New Roman" w:hAnsi="Times New Roman"/>
                <w:szCs w:val="21"/>
              </w:rPr>
            </w:pPr>
            <w:r>
              <w:rPr>
                <w:rFonts w:hint="eastAsia" w:ascii="Times New Roman" w:hAnsi="Times New Roman"/>
                <w:szCs w:val="21"/>
              </w:rPr>
              <w:t>BSGT202302</w:t>
            </w:r>
          </w:p>
        </w:tc>
        <w:tc>
          <w:tcPr>
            <w:tcW w:w="2655" w:type="dxa"/>
            <w:vAlign w:val="center"/>
          </w:tcPr>
          <w:p>
            <w:pPr>
              <w:jc w:val="center"/>
              <w:rPr>
                <w:rFonts w:ascii="Times New Roman" w:hAnsi="Times New Roman"/>
                <w:szCs w:val="21"/>
              </w:rPr>
            </w:pPr>
            <w:r>
              <w:rPr>
                <w:rFonts w:hint="eastAsia" w:ascii="Times New Roman" w:hAnsi="Times New Roman"/>
                <w:szCs w:val="21"/>
              </w:rPr>
              <w:t>重庆市璧山区健龙镇玉林村接龙一社矿泉水勘查</w:t>
            </w:r>
          </w:p>
        </w:tc>
        <w:tc>
          <w:tcPr>
            <w:tcW w:w="2017" w:type="dxa"/>
            <w:vAlign w:val="center"/>
          </w:tcPr>
          <w:p>
            <w:pPr>
              <w:jc w:val="center"/>
              <w:rPr>
                <w:rFonts w:ascii="Times New Roman" w:hAnsi="Times New Roman"/>
                <w:szCs w:val="21"/>
              </w:rPr>
            </w:pPr>
            <w:r>
              <w:rPr>
                <w:rFonts w:hint="eastAsia" w:ascii="Times New Roman" w:hAnsi="Times New Roman"/>
                <w:szCs w:val="21"/>
              </w:rPr>
              <w:t>重庆市璧山区健龙镇玉林村接龙一社</w:t>
            </w:r>
          </w:p>
        </w:tc>
        <w:tc>
          <w:tcPr>
            <w:tcW w:w="832" w:type="dxa"/>
            <w:vAlign w:val="center"/>
          </w:tcPr>
          <w:p>
            <w:pPr>
              <w:jc w:val="center"/>
              <w:rPr>
                <w:rFonts w:ascii="Times New Roman" w:hAnsi="Times New Roman"/>
                <w:szCs w:val="21"/>
              </w:rPr>
            </w:pPr>
            <w:r>
              <w:rPr>
                <w:rFonts w:hint="eastAsia" w:ascii="Times New Roman" w:hAnsi="Times New Roman"/>
                <w:szCs w:val="21"/>
              </w:rPr>
              <w:t>矿泉水</w:t>
            </w:r>
          </w:p>
        </w:tc>
        <w:tc>
          <w:tcPr>
            <w:tcW w:w="1936" w:type="dxa"/>
            <w:vAlign w:val="center"/>
          </w:tcPr>
          <w:p>
            <w:pPr>
              <w:jc w:val="center"/>
              <w:rPr>
                <w:rFonts w:ascii="Times New Roman" w:hAnsi="Times New Roman"/>
                <w:szCs w:val="21"/>
              </w:rPr>
            </w:pPr>
            <w:r>
              <w:rPr>
                <w:rFonts w:ascii="Times New Roman" w:hAnsi="Times New Roman"/>
                <w:szCs w:val="21"/>
              </w:rPr>
              <w:t>详见《竞买须知》</w:t>
            </w:r>
          </w:p>
        </w:tc>
        <w:tc>
          <w:tcPr>
            <w:tcW w:w="1361" w:type="dxa"/>
            <w:vAlign w:val="center"/>
          </w:tcPr>
          <w:p>
            <w:pPr>
              <w:jc w:val="center"/>
              <w:rPr>
                <w:rFonts w:ascii="Times New Roman" w:hAnsi="Times New Roman"/>
                <w:szCs w:val="21"/>
              </w:rPr>
            </w:pPr>
            <w:r>
              <w:rPr>
                <w:rFonts w:hint="eastAsia" w:ascii="Times New Roman" w:hAnsi="Times New Roman"/>
                <w:szCs w:val="21"/>
              </w:rPr>
              <w:t>0.018</w:t>
            </w:r>
          </w:p>
        </w:tc>
        <w:tc>
          <w:tcPr>
            <w:tcW w:w="1090" w:type="dxa"/>
            <w:vAlign w:val="center"/>
          </w:tcPr>
          <w:p>
            <w:pPr>
              <w:jc w:val="center"/>
              <w:rPr>
                <w:rFonts w:ascii="Times New Roman" w:hAnsi="Times New Roman"/>
                <w:szCs w:val="21"/>
              </w:rPr>
            </w:pPr>
            <w:r>
              <w:rPr>
                <w:rFonts w:hint="eastAsia" w:ascii="Times New Roman" w:hAnsi="Times New Roman"/>
                <w:szCs w:val="21"/>
              </w:rPr>
              <w:t xml:space="preserve"> 普查 </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97.77</w:t>
            </w:r>
          </w:p>
        </w:tc>
        <w:tc>
          <w:tcPr>
            <w:tcW w:w="1276" w:type="dxa"/>
            <w:vAlign w:val="center"/>
          </w:tcPr>
          <w:p>
            <w:pPr>
              <w:jc w:val="center"/>
              <w:rPr>
                <w:rFonts w:ascii="Times New Roman" w:hAnsi="Times New Roman"/>
                <w:szCs w:val="21"/>
              </w:rPr>
            </w:pPr>
            <w:r>
              <w:rPr>
                <w:rFonts w:hint="eastAsia" w:ascii="Times New Roman" w:hAnsi="Times New Roman"/>
                <w:szCs w:val="21"/>
              </w:rPr>
              <w:t>48.89</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 xml:space="preserve">一、序号 </w:t>
      </w:r>
      <w:r>
        <w:rPr>
          <w:rFonts w:hint="eastAsia" w:asciiTheme="minorEastAsia" w:hAnsiTheme="minorEastAsia"/>
          <w:sz w:val="24"/>
          <w:szCs w:val="24"/>
        </w:rPr>
        <w:t>探</w:t>
      </w:r>
      <w:r>
        <w:rPr>
          <w:rFonts w:asciiTheme="minorEastAsia" w:hAnsiTheme="minorEastAsia"/>
          <w:sz w:val="24"/>
          <w:szCs w:val="24"/>
        </w:rPr>
        <w:t>矿权出让人：</w:t>
      </w:r>
      <w:r>
        <w:rPr>
          <w:rFonts w:hint="eastAsia" w:asciiTheme="minorEastAsia" w:hAnsiTheme="minorEastAsia"/>
          <w:sz w:val="24"/>
          <w:szCs w:val="24"/>
        </w:rPr>
        <w:t>重庆市璧山区规划和自然资源局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帐号：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帐号：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帐号：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帐号：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帐号：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imes New Roman" w:hAnsi="Times New Roman"/>
          <w:sz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帐号：</w:t>
      </w:r>
      <w:r>
        <w:rPr>
          <w:rFonts w:hint="eastAsia" w:asciiTheme="minorEastAsia" w:hAnsiTheme="minorEastAsia"/>
          <w:sz w:val="24"/>
          <w:szCs w:val="24"/>
        </w:rPr>
        <w:t>123910160710802</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2023年04月14日11时</w:t>
      </w:r>
      <w:r>
        <w:rPr>
          <w:rFonts w:ascii="Times New Roman" w:hAnsi="Times New Roman"/>
          <w:sz w:val="24"/>
        </w:rPr>
        <w:t>。如成功竞得，已缴纳的保证金可抵作探矿权出让收益，由竞得人委托</w:t>
      </w:r>
      <w:r>
        <w:rPr>
          <w:rFonts w:hint="eastAsia" w:asciiTheme="minorEastAsia" w:hAnsiTheme="minorEastAsia"/>
          <w:sz w:val="24"/>
        </w:rPr>
        <w:t>重庆市璧山区公共资源交易中心</w:t>
      </w:r>
      <w:r>
        <w:rPr>
          <w:rFonts w:ascii="Times New Roman" w:hAnsi="Times New Roman"/>
          <w:sz w:val="24"/>
        </w:rPr>
        <w:t>支付至财政非税收入专户；如未竞得，可在成交日之后1个工作日内办理退还手续，不计利息。</w:t>
      </w:r>
    </w:p>
    <w:p>
      <w:pPr>
        <w:spacing w:line="360" w:lineRule="exact"/>
        <w:ind w:right="718" w:rightChars="342" w:firstLine="480" w:firstLineChars="200"/>
        <w:jc w:val="left"/>
        <w:rPr>
          <w:rFonts w:ascii="Times New Roman" w:hAnsi="Times New Roman"/>
          <w:sz w:val="24"/>
        </w:rPr>
      </w:pPr>
      <w:r>
        <w:rPr>
          <w:rFonts w:ascii="Times New Roman" w:hAnsi="Times New Roman"/>
          <w:sz w:val="24"/>
        </w:rPr>
        <w:t>三、探矿权出让收益缴纳方式详见《竞买须知》：</w:t>
      </w:r>
    </w:p>
    <w:p>
      <w:pPr>
        <w:spacing w:line="360" w:lineRule="exact"/>
        <w:ind w:right="718" w:rightChars="342" w:firstLine="480" w:firstLineChars="200"/>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2.通过“信用中国”查询，在自然资源部联合惩戒备忘录或重庆市信用惩戒严重失信主体“黑名单”内限制禁止参与探矿权出让的；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718" w:rightChars="342" w:firstLine="480" w:firstLineChars="200"/>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w:t>
      </w:r>
      <w:r>
        <w:rPr>
          <w:rFonts w:hint="eastAsia" w:ascii="Times New Roman" w:hAnsi="Times New Roman"/>
          <w:kern w:val="0"/>
          <w:sz w:val="24"/>
        </w:rPr>
        <w:t>周边</w:t>
      </w:r>
      <w:r>
        <w:rPr>
          <w:rFonts w:ascii="Times New Roman" w:hAnsi="Times New Roman"/>
          <w:kern w:val="0"/>
          <w:sz w:val="24"/>
        </w:rPr>
        <w:t>，可能存在有基本农田及建设项目，竞得人进行的勘查活动不得占用基本农田和改变基本农田现状，不能对已有建设项目造成不良影响。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重庆市璧山区规划和自然资源局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1、本宗探矿权无出让底价，价高者得。竞买申请人须认真详读出让文件、了解矿山基本情况，竞得人在探矿权区块范围内开展勘查工作中，应加强生态环境保护，因勘探工作需要造成的破坏应及时进行修复。竞得人竞得后应委托有资质单位依据《矿业权出让技术报告》编制勘查实施方案，及时申请开工备案。</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2、该宗探矿权前期投入费用共计15.97万元，未包含在探矿权出让收益起始价97.77万元中，竞买人竞得后5个工作日内，需一次性支付至指定账户（探矿权出让技术报告金额：10.02万元，收款单位：重庆市二零八地质环境研究院有限公司，开户行：建行北碚支行，账号：50001093600050004078；探矿权评估报告及资产评估报告金额：5.95万元，收款单位：重庆市国能矿业权资产评估有限公司，开户行：中国工商银行重庆较场口支行，账号：3100021509024567075）。</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3、若本次公开出让采取拍卖方式，产生的拍卖费用由竞得人承担。</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4、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spacing w:line="360" w:lineRule="exact"/>
        <w:ind w:firstLine="480" w:firstLineChars="200"/>
        <w:rPr>
          <w:rFonts w:ascii="Times New Roman" w:hAnsi="Times New Roman"/>
          <w:kern w:val="0"/>
          <w:sz w:val="24"/>
        </w:rPr>
      </w:pPr>
    </w:p>
    <w:p>
      <w:pPr>
        <w:spacing w:line="360" w:lineRule="exact"/>
        <w:ind w:firstLine="480" w:firstLineChars="200"/>
        <w:rPr>
          <w:rFonts w:ascii="Times New Roman" w:hAnsi="Times New Roman"/>
          <w:kern w:val="0"/>
          <w:sz w:val="24"/>
        </w:rPr>
      </w:pPr>
    </w:p>
    <w:p>
      <w:pPr>
        <w:spacing w:line="360" w:lineRule="exact"/>
        <w:ind w:firstLine="480" w:firstLineChars="200"/>
        <w:jc w:val="right"/>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bookmarkStart w:id="1" w:name="_GoBack"/>
      <w:bookmarkEnd w:id="1"/>
      <w:r>
        <w:rPr>
          <w:rFonts w:hint="eastAsia" w:asciiTheme="minorEastAsia" w:hAnsiTheme="minorEastAsia"/>
          <w:sz w:val="24"/>
          <w:szCs w:val="24"/>
        </w:rPr>
        <w:t>重庆市璧山区规划和自然资源局</w:t>
      </w: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重庆市璧山区健龙镇玉林村接龙一社矿泉水勘查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BCGT202302</w:t>
      </w:r>
    </w:p>
    <w:p>
      <w:pPr>
        <w:spacing w:line="360" w:lineRule="exact"/>
        <w:ind w:firstLine="428" w:firstLineChars="204"/>
        <w:rPr>
          <w:rFonts w:ascii="Times New Roman" w:hAnsi="Times New Roman"/>
          <w:szCs w:val="21"/>
        </w:rPr>
      </w:pPr>
      <w:r>
        <w:rPr>
          <w:rFonts w:hint="eastAsia" w:ascii="Times New Roman" w:hAnsi="Times New Roman"/>
          <w:szCs w:val="21"/>
        </w:rPr>
        <w:t>重庆市璧山区健龙镇玉林村接龙一社矿泉水勘查探矿权</w:t>
      </w:r>
      <w:r>
        <w:rPr>
          <w:rFonts w:ascii="Times New Roman" w:hAnsi="Times New Roman"/>
          <w:szCs w:val="21"/>
        </w:rPr>
        <w:t>位</w:t>
      </w:r>
      <w:r>
        <w:rPr>
          <w:rFonts w:hint="eastAsia" w:ascii="Times New Roman" w:hAnsi="Times New Roman"/>
          <w:szCs w:val="21"/>
        </w:rPr>
        <w:t>健龙镇玉林村接龙一社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428" w:firstLineChars="204"/>
        <w:rPr>
          <w:rFonts w:ascii="Times New Roman" w:hAnsi="Times New Roman"/>
          <w:szCs w:val="21"/>
        </w:rPr>
      </w:pPr>
      <w:r>
        <w:rPr>
          <w:rFonts w:hint="eastAsia" w:ascii="Times New Roman" w:hAnsi="Times New Roman"/>
          <w:szCs w:val="21"/>
        </w:rPr>
        <w:t>（一）探矿权名称：</w:t>
      </w:r>
      <w:r>
        <w:rPr>
          <w:rFonts w:ascii="Times New Roman" w:hAnsi="Times New Roman"/>
          <w:szCs w:val="21"/>
        </w:rPr>
        <w:t>重庆市璧山区</w:t>
      </w:r>
      <w:r>
        <w:rPr>
          <w:rFonts w:hint="eastAsia" w:ascii="Times New Roman" w:hAnsi="Times New Roman"/>
          <w:szCs w:val="21"/>
        </w:rPr>
        <w:t>健龙镇玉林村接龙一社矿泉水勘查</w:t>
      </w:r>
    </w:p>
    <w:p>
      <w:pPr>
        <w:spacing w:line="360" w:lineRule="exact"/>
        <w:ind w:firstLine="428" w:firstLineChars="204"/>
        <w:rPr>
          <w:rFonts w:ascii="Times New Roman" w:hAnsi="Times New Roman"/>
          <w:szCs w:val="21"/>
        </w:rPr>
      </w:pPr>
      <w:r>
        <w:rPr>
          <w:rFonts w:hint="eastAsia" w:ascii="Times New Roman" w:hAnsi="Times New Roman"/>
          <w:szCs w:val="21"/>
        </w:rPr>
        <w:t>（二）地理位置：重庆市璧山区健龙镇玉林村接龙一社；</w:t>
      </w:r>
    </w:p>
    <w:p>
      <w:pPr>
        <w:spacing w:line="360" w:lineRule="exact"/>
        <w:ind w:firstLine="428" w:firstLineChars="204"/>
        <w:rPr>
          <w:rFonts w:ascii="Times New Roman" w:hAnsi="Times New Roman"/>
          <w:szCs w:val="21"/>
        </w:rPr>
      </w:pPr>
      <w:r>
        <w:rPr>
          <w:rFonts w:hint="eastAsia" w:ascii="Times New Roman" w:hAnsi="Times New Roman"/>
          <w:szCs w:val="21"/>
        </w:rPr>
        <w:t>（三）矿区面积：0.018平方公里；</w:t>
      </w:r>
    </w:p>
    <w:p>
      <w:pPr>
        <w:spacing w:line="360" w:lineRule="exact"/>
        <w:ind w:firstLine="428" w:firstLineChars="204"/>
        <w:rPr>
          <w:rFonts w:ascii="Times New Roman" w:hAnsi="Times New Roman"/>
          <w:szCs w:val="21"/>
        </w:rPr>
      </w:pPr>
      <w:r>
        <w:rPr>
          <w:rFonts w:hint="eastAsia" w:ascii="Times New Roman" w:hAnsi="Times New Roman"/>
          <w:szCs w:val="21"/>
        </w:rPr>
        <w:t>（四）开采矿种：矿泉水；</w:t>
      </w:r>
    </w:p>
    <w:p>
      <w:pPr>
        <w:spacing w:line="360" w:lineRule="exact"/>
        <w:ind w:firstLine="428" w:firstLineChars="204"/>
        <w:rPr>
          <w:rFonts w:ascii="Times New Roman" w:hAnsi="Times New Roman"/>
          <w:szCs w:val="21"/>
        </w:rPr>
      </w:pPr>
      <w:r>
        <w:rPr>
          <w:rFonts w:hint="eastAsia" w:ascii="Times New Roman" w:hAnsi="Times New Roman"/>
          <w:szCs w:val="21"/>
        </w:rPr>
        <w:t>（五）探矿权出让年限：5年；</w:t>
      </w:r>
    </w:p>
    <w:p>
      <w:pPr>
        <w:spacing w:line="360" w:lineRule="exact"/>
        <w:ind w:firstLine="428" w:firstLineChars="204"/>
        <w:rPr>
          <w:rFonts w:ascii="Times New Roman" w:hAnsi="Times New Roman"/>
          <w:szCs w:val="21"/>
        </w:rPr>
      </w:pPr>
      <w:r>
        <w:rPr>
          <w:rFonts w:hint="eastAsia" w:ascii="Times New Roman" w:hAnsi="Times New Roman"/>
          <w:szCs w:val="21"/>
        </w:rPr>
        <w:t>（六）矿区范围坐标（2000坐标系）：</w:t>
      </w:r>
    </w:p>
    <w:tbl>
      <w:tblPr>
        <w:tblStyle w:val="5"/>
        <w:tblW w:w="8880" w:type="dxa"/>
        <w:tblInd w:w="93" w:type="dxa"/>
        <w:tblLayout w:type="autofit"/>
        <w:tblCellMar>
          <w:top w:w="0" w:type="dxa"/>
          <w:left w:w="108" w:type="dxa"/>
          <w:bottom w:w="0" w:type="dxa"/>
          <w:right w:w="108" w:type="dxa"/>
        </w:tblCellMar>
      </w:tblPr>
      <w:tblGrid>
        <w:gridCol w:w="1080"/>
        <w:gridCol w:w="1600"/>
        <w:gridCol w:w="1740"/>
        <w:gridCol w:w="1080"/>
        <w:gridCol w:w="1800"/>
        <w:gridCol w:w="1612"/>
      </w:tblGrid>
      <w:tr>
        <w:tblPrEx>
          <w:tblCellMar>
            <w:top w:w="0" w:type="dxa"/>
            <w:left w:w="108" w:type="dxa"/>
            <w:bottom w:w="0" w:type="dxa"/>
            <w:right w:w="108" w:type="dxa"/>
          </w:tblCellMar>
        </w:tblPrEx>
        <w:trPr>
          <w:trHeight w:val="315" w:hRule="atLeast"/>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 w:val="24"/>
              </w:rPr>
            </w:pPr>
            <w:r>
              <w:rPr>
                <w:rFonts w:hint="eastAsia" w:ascii="仿宋_GB2312" w:eastAsia="仿宋_GB2312"/>
                <w:color w:val="000000"/>
                <w:kern w:val="0"/>
                <w:sz w:val="24"/>
              </w:rPr>
              <w:t>编号</w:t>
            </w:r>
          </w:p>
        </w:tc>
        <w:tc>
          <w:tcPr>
            <w:tcW w:w="160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x</w:t>
            </w:r>
          </w:p>
        </w:tc>
        <w:tc>
          <w:tcPr>
            <w:tcW w:w="174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y</w:t>
            </w:r>
          </w:p>
        </w:tc>
        <w:tc>
          <w:tcPr>
            <w:tcW w:w="108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rFonts w:hint="eastAsia" w:ascii="仿宋_GB2312" w:eastAsia="仿宋_GB2312"/>
                <w:color w:val="000000"/>
                <w:kern w:val="0"/>
                <w:sz w:val="24"/>
              </w:rPr>
              <w:t>编号</w:t>
            </w:r>
          </w:p>
        </w:tc>
        <w:tc>
          <w:tcPr>
            <w:tcW w:w="180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rFonts w:hint="eastAsia" w:ascii="仿宋_GB2312" w:eastAsia="仿宋_GB2312"/>
                <w:color w:val="000000"/>
                <w:kern w:val="0"/>
                <w:sz w:val="24"/>
              </w:rPr>
              <w:t>经度</w:t>
            </w:r>
          </w:p>
        </w:tc>
        <w:tc>
          <w:tcPr>
            <w:tcW w:w="158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rFonts w:hint="eastAsia" w:ascii="仿宋_GB2312" w:eastAsia="仿宋_GB2312"/>
                <w:color w:val="000000"/>
                <w:kern w:val="0"/>
                <w:sz w:val="24"/>
              </w:rPr>
              <w:t>纬度</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w:t>
            </w:r>
          </w:p>
        </w:tc>
        <w:tc>
          <w:tcPr>
            <w:tcW w:w="16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3250867.69</w:t>
            </w:r>
          </w:p>
        </w:tc>
        <w:tc>
          <w:tcPr>
            <w:tcW w:w="174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35617607.6</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106°12'54.180''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29°22'01.280''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w:t>
            </w:r>
          </w:p>
        </w:tc>
        <w:tc>
          <w:tcPr>
            <w:tcW w:w="1600" w:type="dxa"/>
            <w:tcBorders>
              <w:top w:val="nil"/>
              <w:left w:val="nil"/>
              <w:bottom w:val="nil"/>
              <w:right w:val="nil"/>
            </w:tcBorders>
            <w:noWrap/>
            <w:vAlign w:val="bottom"/>
          </w:tcPr>
          <w:p>
            <w:pPr>
              <w:widowControl/>
              <w:jc w:val="center"/>
              <w:rPr>
                <w:color w:val="000000"/>
                <w:kern w:val="0"/>
                <w:sz w:val="24"/>
              </w:rPr>
            </w:pPr>
            <w:r>
              <w:rPr>
                <w:color w:val="000000"/>
                <w:kern w:val="0"/>
                <w:sz w:val="24"/>
              </w:rPr>
              <w:t>3250976.75</w:t>
            </w:r>
          </w:p>
        </w:tc>
        <w:tc>
          <w:tcPr>
            <w:tcW w:w="174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35617675.19</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106°12'56.730''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29°22'04.800''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w:t>
            </w:r>
          </w:p>
        </w:tc>
        <w:tc>
          <w:tcPr>
            <w:tcW w:w="1600" w:type="dxa"/>
            <w:tcBorders>
              <w:top w:val="single" w:color="auto" w:sz="4" w:space="0"/>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3250910.23</w:t>
            </w:r>
          </w:p>
        </w:tc>
        <w:tc>
          <w:tcPr>
            <w:tcW w:w="174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35617779.03</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106°13'00.550''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29°22'02.600''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4</w:t>
            </w:r>
          </w:p>
        </w:tc>
        <w:tc>
          <w:tcPr>
            <w:tcW w:w="16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3250850.05</w:t>
            </w:r>
          </w:p>
        </w:tc>
        <w:tc>
          <w:tcPr>
            <w:tcW w:w="174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35617735.68</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4</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106°12'58.920''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29°22'00.660''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5</w:t>
            </w:r>
          </w:p>
        </w:tc>
        <w:tc>
          <w:tcPr>
            <w:tcW w:w="16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3250776.25</w:t>
            </w:r>
          </w:p>
        </w:tc>
        <w:tc>
          <w:tcPr>
            <w:tcW w:w="174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35617727.09</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5</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106°12'58.570''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29°21'58.270''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noWrap/>
            <w:vAlign w:val="center"/>
          </w:tcPr>
          <w:p>
            <w:pPr>
              <w:widowControl/>
              <w:jc w:val="center"/>
              <w:rPr>
                <w:color w:val="000000"/>
                <w:kern w:val="0"/>
                <w:sz w:val="24"/>
              </w:rPr>
            </w:pPr>
            <w:r>
              <w:rPr>
                <w:color w:val="000000"/>
                <w:kern w:val="0"/>
                <w:sz w:val="24"/>
              </w:rPr>
              <w:t>6</w:t>
            </w:r>
          </w:p>
        </w:tc>
        <w:tc>
          <w:tcPr>
            <w:tcW w:w="16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3250764.34</w:t>
            </w:r>
          </w:p>
        </w:tc>
        <w:tc>
          <w:tcPr>
            <w:tcW w:w="174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35617718.89</w:t>
            </w:r>
          </w:p>
        </w:tc>
        <w:tc>
          <w:tcPr>
            <w:tcW w:w="10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6</w:t>
            </w:r>
          </w:p>
        </w:tc>
        <w:tc>
          <w:tcPr>
            <w:tcW w:w="180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106°12'58.270''</w:t>
            </w:r>
          </w:p>
        </w:tc>
        <w:tc>
          <w:tcPr>
            <w:tcW w:w="1580" w:type="dxa"/>
            <w:tcBorders>
              <w:top w:val="nil"/>
              <w:left w:val="nil"/>
              <w:bottom w:val="single" w:color="auto" w:sz="4" w:space="0"/>
              <w:right w:val="single" w:color="auto" w:sz="4" w:space="0"/>
            </w:tcBorders>
            <w:noWrap/>
            <w:vAlign w:val="center"/>
          </w:tcPr>
          <w:p>
            <w:pPr>
              <w:widowControl/>
              <w:jc w:val="center"/>
              <w:rPr>
                <w:color w:val="000000"/>
                <w:kern w:val="0"/>
                <w:sz w:val="24"/>
              </w:rPr>
            </w:pPr>
            <w:r>
              <w:rPr>
                <w:color w:val="000000"/>
                <w:kern w:val="0"/>
                <w:sz w:val="24"/>
              </w:rPr>
              <w:t>29°21'57.880''</w:t>
            </w:r>
          </w:p>
        </w:tc>
      </w:tr>
    </w:tbl>
    <w:p>
      <w:pPr>
        <w:spacing w:line="360" w:lineRule="exact"/>
        <w:ind w:firstLine="464" w:firstLineChars="220"/>
        <w:rPr>
          <w:rStyle w:val="7"/>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imes New Roman" w:hAnsi="Times New Roman"/>
          <w:szCs w:val="21"/>
        </w:rPr>
      </w:pPr>
      <w:r>
        <w:rPr>
          <w:rFonts w:asciiTheme="minorEastAsia" w:hAnsiTheme="minorEastAsia"/>
          <w:szCs w:val="21"/>
        </w:rPr>
        <w:t>本次</w:t>
      </w:r>
      <w:r>
        <w:rPr>
          <w:rFonts w:hint="eastAsia" w:asciiTheme="minorEastAsia" w:hAnsiTheme="minorEastAsia"/>
          <w:szCs w:val="21"/>
        </w:rPr>
        <w:t>探</w:t>
      </w:r>
      <w:r>
        <w:rPr>
          <w:rFonts w:asciiTheme="minorEastAsia" w:hAnsiTheme="minorEastAsia"/>
          <w:szCs w:val="21"/>
        </w:rPr>
        <w:t>矿权出让人为</w:t>
      </w:r>
      <w:r>
        <w:rPr>
          <w:rFonts w:hint="eastAsia" w:asciiTheme="minorEastAsia" w:hAnsiTheme="minorEastAsia"/>
          <w:szCs w:val="21"/>
        </w:rPr>
        <w:t>重庆市璧山区规划和自然资源局</w:t>
      </w:r>
      <w:r>
        <w:rPr>
          <w:rFonts w:asciiTheme="minorEastAsia" w:hAnsiTheme="minorEastAsia"/>
          <w:szCs w:val="21"/>
        </w:rPr>
        <w:t>，</w:t>
      </w:r>
      <w:r>
        <w:rPr>
          <w:rFonts w:hint="eastAsia" w:asciiTheme="minorEastAsia" w:hAnsiTheme="minorEastAsia"/>
          <w:szCs w:val="21"/>
        </w:rPr>
        <w:t>探</w:t>
      </w:r>
      <w:r>
        <w:rPr>
          <w:rFonts w:asciiTheme="minorEastAsia" w:hAnsiTheme="minorEastAsia"/>
          <w:szCs w:val="21"/>
        </w:rPr>
        <w:t>矿权出让承办机构为</w:t>
      </w:r>
      <w:r>
        <w:rPr>
          <w:rFonts w:hint="eastAsia" w:asciiTheme="minorEastAsia" w:hAnsiTheme="minorEastAsia"/>
          <w:szCs w:val="21"/>
        </w:rPr>
        <w:t>重庆市璧山区公共资源交易中心</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重庆市璧山区规划和自然资源局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imes New Roman" w:hAnsi="Times New Roman"/>
          <w:kern w:val="0"/>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2" w:firstLineChars="200"/>
        <w:rPr>
          <w:rStyle w:val="7"/>
          <w:rFonts w:ascii="Times New Roman" w:hAnsi="Times New Roman"/>
          <w:color w:val="222222"/>
          <w:szCs w:val="21"/>
        </w:rPr>
      </w:pPr>
      <w:r>
        <w:rPr>
          <w:rStyle w:val="7"/>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2.通过“信用中国”查询，在自然资源部联合惩戒备忘录或重庆市信用惩戒严重失信主体“黑名单”内限制禁止参与探矿权出让的；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7"/>
          <w:rFonts w:ascii="Times New Roman" w:hAnsi="Times New Roman"/>
          <w:color w:val="222222"/>
          <w:szCs w:val="21"/>
        </w:rPr>
      </w:pPr>
      <w:r>
        <w:rPr>
          <w:rStyle w:val="7"/>
          <w:rFonts w:ascii="Times New Roman" w:hAnsi="Times New Roman"/>
          <w:color w:val="222222"/>
          <w:szCs w:val="21"/>
        </w:rPr>
        <w:t>四、报名申请</w:t>
      </w:r>
      <w:r>
        <w:rPr>
          <w:rStyle w:val="7"/>
          <w:rFonts w:hint="eastAsia" w:ascii="Times New Roman" w:hAnsi="Times New Roman"/>
          <w:color w:val="222222"/>
          <w:szCs w:val="21"/>
        </w:rPr>
        <w:t xml:space="preserve"> </w:t>
      </w:r>
      <w:r>
        <w:rPr>
          <w:rStyle w:val="7"/>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2023年03月16日09时</w:t>
      </w:r>
      <w:r>
        <w:rPr>
          <w:rFonts w:ascii="Times New Roman" w:hAnsi="Times New Roman"/>
          <w:szCs w:val="21"/>
        </w:rPr>
        <w:t>-</w:t>
      </w:r>
      <w:r>
        <w:rPr>
          <w:rFonts w:hint="eastAsia" w:ascii="Times New Roman" w:hAnsi="Times New Roman"/>
          <w:szCs w:val="21"/>
        </w:rPr>
        <w:t>2023年04月14日11时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重庆市璧山区铁山路1号新行政服务中心A区3楼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林老师</w:t>
      </w:r>
      <w:r>
        <w:rPr>
          <w:rFonts w:ascii="Times New Roman" w:hAnsi="Times New Roman"/>
          <w:szCs w:val="21"/>
        </w:rPr>
        <w:t>，联系电话：</w:t>
      </w:r>
      <w:r>
        <w:rPr>
          <w:rFonts w:hint="eastAsia" w:ascii="Times New Roman" w:hAnsi="Times New Roman"/>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重庆市璧山区公共资源交易中心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r>
        <w:rPr>
          <w:rFonts w:hint="eastAsia" w:ascii="Times New Roman" w:hAnsi="Times New Roman"/>
          <w:szCs w:val="21"/>
        </w:rPr>
        <w:t>；</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szCs w:val="21"/>
        </w:rPr>
        <w:t>8、</w:t>
      </w:r>
      <w:r>
        <w:rPr>
          <w:rFonts w:hint="eastAsia" w:ascii="Times New Roman" w:hAnsi="Times New Roman"/>
          <w:color w:val="000000" w:themeColor="text1"/>
          <w:szCs w:val="21"/>
          <w14:textFill>
            <w14:solidFill>
              <w14:schemeClr w14:val="tx1"/>
            </w14:solidFill>
          </w14:textFill>
        </w:rPr>
        <w:t>保证金缴纳凭证（复印件1份）；</w:t>
      </w:r>
    </w:p>
    <w:p>
      <w:pPr>
        <w:spacing w:line="360" w:lineRule="exact"/>
        <w:ind w:firstLine="420" w:firstLineChars="200"/>
        <w:rPr>
          <w:rFonts w:ascii="Times New Roman" w:hAnsi="Times New Roman"/>
          <w:szCs w:val="21"/>
        </w:rPr>
      </w:pPr>
      <w:r>
        <w:rPr>
          <w:rFonts w:hint="eastAsia" w:ascii="Times New Roman" w:hAnsi="Times New Roman"/>
          <w:color w:val="000000" w:themeColor="text1"/>
          <w:szCs w:val="21"/>
          <w14:textFill>
            <w14:solidFill>
              <w14:schemeClr w14:val="tx1"/>
            </w14:solidFill>
          </w14:textFill>
        </w:rPr>
        <w:t>9、《退付保证金授权声明》</w:t>
      </w:r>
      <w:r>
        <w:rPr>
          <w:rFonts w:ascii="Times New Roman" w:hAnsi="Times New Roman"/>
          <w:szCs w:val="21"/>
        </w:rPr>
        <w:t>（原件1份）</w:t>
      </w:r>
      <w:r>
        <w:rPr>
          <w:rFonts w:hint="eastAsia" w:ascii="Times New Roman" w:hAnsi="Times New Roman"/>
          <w:szCs w:val="21"/>
        </w:rPr>
        <w:t>（非必要件）</w:t>
      </w:r>
      <w:r>
        <w:rPr>
          <w:rFonts w:ascii="Times New Roman" w:hAnsi="Times New Roman"/>
          <w:szCs w:val="21"/>
        </w:rPr>
        <w:t>。</w:t>
      </w:r>
    </w:p>
    <w:p>
      <w:pPr>
        <w:spacing w:line="360" w:lineRule="exact"/>
        <w:ind w:firstLine="420" w:firstLineChars="200"/>
        <w:rPr>
          <w:rFonts w:ascii="Times New Roman" w:hAnsi="Times New Roman"/>
          <w:szCs w:val="21"/>
        </w:rPr>
      </w:pPr>
      <w:r>
        <w:rPr>
          <w:rFonts w:hint="eastAsia" w:ascii="Times New Roman" w:hAnsi="Times New Roman"/>
          <w:color w:val="000000" w:themeColor="text1"/>
          <w:szCs w:val="21"/>
          <w14:textFill>
            <w14:solidFill>
              <w14:schemeClr w14:val="tx1"/>
            </w14:solidFill>
          </w14:textFill>
        </w:rPr>
        <w:t>申请资料按目录清单装订，加盖骑缝章，并将申请资料装入资料袋密封加盖印章，申请资料需一式两份。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48.89</w:t>
      </w:r>
      <w:r>
        <w:rPr>
          <w:rFonts w:ascii="Times New Roman" w:hAnsi="Times New Roman"/>
          <w:szCs w:val="21"/>
          <w:u w:val="single"/>
        </w:rPr>
        <w:t>万元（大</w:t>
      </w:r>
      <w:r>
        <w:rPr>
          <w:rFonts w:ascii="Times New Roman" w:hAnsi="Times New Roman"/>
          <w:szCs w:val="21"/>
        </w:rPr>
        <w:t>写：</w:t>
      </w:r>
      <w:r>
        <w:rPr>
          <w:rFonts w:hint="eastAsia" w:ascii="宋体" w:hAnsi="宋体" w:cs="宋体"/>
          <w:szCs w:val="21"/>
        </w:rPr>
        <w:t>肆拾捌万捌仟玖佰</w:t>
      </w:r>
      <w:r>
        <w:rPr>
          <w:rFonts w:ascii="Times New Roman" w:hAnsi="Times New Roman"/>
          <w:szCs w:val="21"/>
        </w:rPr>
        <w:t>元整），竞买申请人应于报名时间截止之前向</w:t>
      </w:r>
      <w:r>
        <w:rPr>
          <w:rFonts w:hint="eastAsia" w:ascii="Times New Roman" w:hAnsi="Times New Roman"/>
          <w:szCs w:val="21"/>
        </w:rPr>
        <w:t>重庆市璧山区公共资源交易中心</w:t>
      </w:r>
      <w:r>
        <w:rPr>
          <w:rFonts w:ascii="Times New Roman" w:hAnsi="Times New Roman"/>
          <w:szCs w:val="21"/>
        </w:rPr>
        <w:t>缴纳竞买保证金。竞买保证金到账截止时间为：</w:t>
      </w:r>
      <w:r>
        <w:rPr>
          <w:rFonts w:hint="eastAsia" w:ascii="Times New Roman" w:hAnsi="Times New Roman"/>
          <w:szCs w:val="21"/>
        </w:rPr>
        <w:t>2023年04月14日11时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开户行：农行重庆璧山支行营业部</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帐号：31200101040010880。</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开户行：中国建设银行璧山支行营业部</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帐号：50001183600050225175。</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开户行：交通银行重庆璧山支行</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帐号：500000195018010001655。</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开户行：重庆银行璧山支行</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帐号：650101040004052-1。</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开户行：重庆农村商业银行璧山支行</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帐号：2101010120010009247。</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保证金户名：重庆市璧山区公共资源交易中心</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开户行：招商银行璧山支行</w:t>
      </w:r>
    </w:p>
    <w:p>
      <w:pPr>
        <w:spacing w:line="360" w:lineRule="exact"/>
        <w:ind w:firstLine="420" w:firstLineChars="200"/>
        <w:rPr>
          <w:rFonts w:ascii="Times New Roman" w:hAnsi="Times New Roman"/>
          <w:szCs w:val="21"/>
        </w:rPr>
      </w:pPr>
      <w:r>
        <w:rPr>
          <w:rFonts w:hint="eastAsia" w:ascii="Times New Roman" w:hAnsi="Times New Roman"/>
          <w:color w:val="000000" w:themeColor="text1"/>
          <w:szCs w:val="21"/>
          <w14:textFill>
            <w14:solidFill>
              <w14:schemeClr w14:val="tx1"/>
            </w14:solidFill>
          </w14:textFill>
        </w:rPr>
        <w:t>帐号：123910160710802。</w:t>
      </w:r>
    </w:p>
    <w:p>
      <w:pPr>
        <w:spacing w:line="360" w:lineRule="exact"/>
        <w:ind w:firstLine="420" w:firstLineChars="200"/>
        <w:rPr>
          <w:rFonts w:ascii="Times New Roman" w:hAnsi="Times New Roman"/>
          <w:szCs w:val="21"/>
        </w:rPr>
      </w:pPr>
      <w:r>
        <w:rPr>
          <w:rFonts w:ascii="Times New Roman" w:hAnsi="Times New Roman"/>
          <w:szCs w:val="21"/>
        </w:rPr>
        <w:t>2、如成功竞得，已缴纳的保证金可抵作探矿权出让收益，由竞得人委托</w:t>
      </w:r>
      <w:r>
        <w:rPr>
          <w:rFonts w:hint="eastAsia" w:ascii="Times New Roman" w:hAnsi="Times New Roman"/>
          <w:color w:val="000000" w:themeColor="text1"/>
          <w:szCs w:val="21"/>
          <w14:textFill>
            <w14:solidFill>
              <w14:schemeClr w14:val="tx1"/>
            </w14:solidFill>
          </w14:textFill>
        </w:rPr>
        <w:t>重庆市璧山区公共资源交易中心</w:t>
      </w:r>
      <w:r>
        <w:rPr>
          <w:rFonts w:ascii="Times New Roman" w:hAnsi="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olor w:val="222222"/>
          <w:szCs w:val="21"/>
        </w:rPr>
      </w:pPr>
      <w:r>
        <w:rPr>
          <w:rStyle w:val="7"/>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探矿权出让方式采用</w:t>
      </w:r>
      <w:r>
        <w:rPr>
          <w:rFonts w:hint="eastAsia" w:ascii="Times New Roman" w:hAnsi="Times New Roman"/>
          <w:szCs w:val="21"/>
        </w:rPr>
        <w:t>现场</w:t>
      </w:r>
      <w:r>
        <w:rPr>
          <w:rFonts w:ascii="Times New Roman" w:hAnsi="Times New Roman"/>
          <w:szCs w:val="21"/>
        </w:rPr>
        <w:t>拍卖</w:t>
      </w:r>
      <w:r>
        <w:rPr>
          <w:rFonts w:hint="eastAsia" w:ascii="Times New Roman" w:hAnsi="Times New Roman"/>
          <w:szCs w:val="21"/>
        </w:rPr>
        <w:t>交易</w:t>
      </w:r>
      <w:r>
        <w:rPr>
          <w:rFonts w:ascii="Times New Roman" w:hAnsi="Times New Roman"/>
          <w:szCs w:val="21"/>
        </w:rPr>
        <w:t>，起拍价在公告起始价的基础上上浮5‰-10‰，报价以增价方式进行</w:t>
      </w:r>
      <w:r>
        <w:rPr>
          <w:rFonts w:hint="eastAsia" w:ascii="Times New Roman" w:hAnsi="Times New Roman"/>
          <w:szCs w:val="21"/>
        </w:rPr>
        <w:t>，</w:t>
      </w:r>
      <w:r>
        <w:rPr>
          <w:rFonts w:ascii="Times New Roman" w:hAnsi="Times New Roman"/>
          <w:szCs w:val="21"/>
        </w:rPr>
        <w:t>拍卖时间为</w:t>
      </w:r>
      <w:r>
        <w:rPr>
          <w:rFonts w:hint="eastAsia" w:ascii="Times New Roman" w:hAnsi="Times New Roman"/>
          <w:szCs w:val="21"/>
        </w:rPr>
        <w:t>2023年04月14日14时30分</w:t>
      </w:r>
      <w:r>
        <w:rPr>
          <w:rFonts w:ascii="Times New Roman" w:hAnsi="Times New Roman"/>
          <w:szCs w:val="21"/>
        </w:rPr>
        <w:t>（如有特殊情况则另行通知），请竞买申请人做好相关准备。</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拍卖程序及竞得方式按国家及重庆市有关规定执行。如在拍卖程序中，本探矿权因监管部门要求需终止交易行为的，在告知竞买申请人后，退还探矿权竞买申请人已交纳的竞买保证金，不计利息。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7"/>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拍卖交易结束后竞得人与</w:t>
      </w:r>
      <w:r>
        <w:rPr>
          <w:rFonts w:hint="eastAsia" w:ascii="Times New Roman" w:hAnsi="Times New Roman"/>
          <w:szCs w:val="21"/>
        </w:rPr>
        <w:t>重庆市璧山区公共资源交易中心</w:t>
      </w:r>
      <w:r>
        <w:rPr>
          <w:rFonts w:ascii="Times New Roman" w:hAnsi="Times New Roman"/>
          <w:szCs w:val="21"/>
        </w:rPr>
        <w:t>现场签订《探矿权出让成交确认书》。</w:t>
      </w:r>
    </w:p>
    <w:p>
      <w:pPr>
        <w:spacing w:line="360" w:lineRule="exact"/>
        <w:ind w:firstLine="422" w:firstLineChars="200"/>
        <w:rPr>
          <w:rStyle w:val="7"/>
          <w:rFonts w:ascii="Times New Roman" w:hAnsi="Times New Roman"/>
          <w:color w:val="222222"/>
          <w:szCs w:val="21"/>
        </w:rPr>
      </w:pPr>
      <w:r>
        <w:rPr>
          <w:rStyle w:val="7"/>
          <w:rFonts w:ascii="Times New Roman" w:hAnsi="Times New Roman"/>
          <w:color w:val="222222"/>
          <w:szCs w:val="21"/>
        </w:rPr>
        <w:t>七、探矿权出让收益的缴纳</w:t>
      </w:r>
    </w:p>
    <w:p>
      <w:pPr>
        <w:spacing w:line="360" w:lineRule="exact"/>
        <w:ind w:firstLine="420" w:firstLineChars="200"/>
        <w:rPr>
          <w:rFonts w:ascii="Times New Roman" w:hAnsi="Times New Roman"/>
          <w:szCs w:val="21"/>
        </w:rPr>
      </w:pPr>
      <w:r>
        <w:rPr>
          <w:rFonts w:hint="eastAsia" w:ascii="Times New Roman" w:hAnsi="Times New Roman"/>
          <w:szCs w:val="21"/>
        </w:rPr>
        <w:t>本次探矿权出让收益一次性缴纳。</w:t>
      </w:r>
    </w:p>
    <w:p>
      <w:pPr>
        <w:spacing w:line="360" w:lineRule="exact"/>
        <w:ind w:firstLine="422" w:firstLineChars="200"/>
        <w:rPr>
          <w:rStyle w:val="7"/>
          <w:color w:val="222222"/>
        </w:rPr>
      </w:pPr>
      <w:r>
        <w:rPr>
          <w:rStyle w:val="7"/>
          <w:rFonts w:hint="eastAsia"/>
          <w:color w:val="222222"/>
        </w:rPr>
        <w:t>八</w:t>
      </w:r>
      <w:r>
        <w:rPr>
          <w:rStyle w:val="7"/>
          <w:color w:val="222222"/>
        </w:rPr>
        <w:t>、交易中止或终止</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有下列情形之一的，我中心将发布中止或者终止交易公告，并中止或者终止交易活动：</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（一）出让人提出</w:t>
      </w:r>
      <w:r>
        <w:rPr>
          <w:rFonts w:ascii="Times New Roman" w:hAnsi="Times New Roman"/>
          <w:color w:val="000000" w:themeColor="text1"/>
          <w:szCs w:val="21"/>
          <w14:textFill>
            <w14:solidFill>
              <w14:schemeClr w14:val="tx1"/>
            </w14:solidFill>
          </w14:textFill>
        </w:rPr>
        <w:t>中止或者终止交易</w:t>
      </w:r>
      <w:r>
        <w:rPr>
          <w:rFonts w:hint="eastAsia" w:ascii="Times New Roman" w:hAnsi="Times New Roman"/>
          <w:color w:val="000000" w:themeColor="text1"/>
          <w:szCs w:val="21"/>
          <w14:textFill>
            <w14:solidFill>
              <w14:schemeClr w14:val="tx1"/>
            </w14:solidFill>
          </w14:textFill>
        </w:rPr>
        <w:t>的；</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二</w:t>
      </w:r>
      <w:r>
        <w:rPr>
          <w:rFonts w:ascii="Times New Roman" w:hAnsi="Times New Roman"/>
          <w:color w:val="000000" w:themeColor="text1"/>
          <w:szCs w:val="21"/>
          <w14:textFill>
            <w14:solidFill>
              <w14:schemeClr w14:val="tx1"/>
            </w14:solidFill>
          </w14:textFill>
        </w:rPr>
        <w:t>）司法机关、监察机关依法要求中止或者终止交易活动的；</w:t>
      </w:r>
    </w:p>
    <w:p>
      <w:pPr>
        <w:spacing w:line="36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三</w:t>
      </w:r>
      <w:r>
        <w:rPr>
          <w:rFonts w:ascii="Times New Roman" w:hAnsi="Times New Roman"/>
          <w:color w:val="000000" w:themeColor="text1"/>
          <w:szCs w:val="21"/>
          <w14:textFill>
            <w14:solidFill>
              <w14:schemeClr w14:val="tx1"/>
            </w14:solidFill>
          </w14:textFill>
        </w:rPr>
        <w:t>）依法应当中止或者终止交易活动的其他情形。</w:t>
      </w:r>
    </w:p>
    <w:p>
      <w:pPr>
        <w:spacing w:line="360" w:lineRule="exact"/>
        <w:ind w:firstLine="422" w:firstLineChars="200"/>
        <w:rPr>
          <w:b/>
          <w:bCs/>
          <w:color w:val="222222"/>
        </w:rPr>
      </w:pPr>
      <w:r>
        <w:rPr>
          <w:rStyle w:val="7"/>
          <w:rFonts w:hint="eastAsia"/>
          <w:color w:val="222222"/>
        </w:rPr>
        <w:t>九</w:t>
      </w:r>
      <w:r>
        <w:rPr>
          <w:rStyle w:val="7"/>
          <w:color w:val="222222"/>
        </w:rPr>
        <w:t>、违约责任</w:t>
      </w:r>
    </w:p>
    <w:p>
      <w:pPr>
        <w:spacing w:line="360" w:lineRule="exact"/>
        <w:ind w:firstLine="420" w:firstLineChars="200"/>
        <w:rPr>
          <w:rStyle w:val="7"/>
          <w:rFonts w:ascii="Times New Roman" w:hAnsi="Times New Roman"/>
          <w:color w:val="222222"/>
          <w:szCs w:val="21"/>
        </w:rPr>
      </w:pPr>
      <w:r>
        <w:rPr>
          <w:rFonts w:ascii="Times New Roman" w:hAnsi="Times New Roman"/>
          <w:color w:val="222222"/>
          <w:szCs w:val="21"/>
        </w:rPr>
        <w:t>（</w:t>
      </w:r>
      <w:r>
        <w:rPr>
          <w:rFonts w:hint="eastAsia" w:ascii="Times New Roman" w:hAnsi="Times New Roman"/>
          <w:color w:val="222222"/>
          <w:szCs w:val="21"/>
        </w:rPr>
        <w:t>一</w:t>
      </w:r>
      <w:r>
        <w:rPr>
          <w:rFonts w:ascii="Times New Roman" w:hAnsi="Times New Roman"/>
          <w:color w:val="222222"/>
          <w:szCs w:val="21"/>
        </w:rPr>
        <w:t>）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color w:val="000000" w:themeColor="text1"/>
          <w:szCs w:val="21"/>
          <w14:textFill>
            <w14:solidFill>
              <w14:schemeClr w14:val="tx1"/>
            </w14:solidFill>
          </w14:textFill>
        </w:rPr>
        <w:t>5、竞得人未按本《竞买须知》、《</w:t>
      </w:r>
      <w:r>
        <w:rPr>
          <w:rFonts w:hint="eastAsia" w:ascii="Times New Roman" w:hAnsi="Times New Roman"/>
          <w:color w:val="000000" w:themeColor="text1"/>
          <w:szCs w:val="21"/>
          <w14:textFill>
            <w14:solidFill>
              <w14:schemeClr w14:val="tx1"/>
            </w14:solidFill>
          </w14:textFill>
        </w:rPr>
        <w:t>探</w:t>
      </w:r>
      <w:r>
        <w:rPr>
          <w:rFonts w:ascii="Times New Roman" w:hAnsi="Times New Roman"/>
          <w:color w:val="000000" w:themeColor="text1"/>
          <w:szCs w:val="21"/>
          <w14:textFill>
            <w14:solidFill>
              <w14:schemeClr w14:val="tx1"/>
            </w14:solidFill>
          </w14:textFill>
        </w:rPr>
        <w:t>矿权出让成交确认书》的要求支付</w:t>
      </w:r>
      <w:r>
        <w:rPr>
          <w:rFonts w:hint="eastAsia" w:ascii="Times New Roman" w:hAnsi="Times New Roman"/>
          <w:color w:val="000000" w:themeColor="text1"/>
          <w:szCs w:val="21"/>
          <w14:textFill>
            <w14:solidFill>
              <w14:schemeClr w14:val="tx1"/>
            </w14:solidFill>
          </w14:textFill>
        </w:rPr>
        <w:t>探</w:t>
      </w:r>
      <w:r>
        <w:rPr>
          <w:rFonts w:ascii="Times New Roman" w:hAnsi="Times New Roman"/>
          <w:color w:val="000000" w:themeColor="text1"/>
          <w:szCs w:val="21"/>
          <w14:textFill>
            <w14:solidFill>
              <w14:schemeClr w14:val="tx1"/>
            </w14:solidFill>
          </w14:textFill>
        </w:rPr>
        <w:t>矿权出让收益、其他补偿费用；</w:t>
      </w:r>
    </w:p>
    <w:p>
      <w:pPr>
        <w:spacing w:line="360" w:lineRule="exact"/>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二</w:t>
      </w:r>
      <w:r>
        <w:rPr>
          <w:rFonts w:ascii="Times New Roman" w:hAnsi="Times New Roman"/>
          <w:szCs w:val="21"/>
        </w:rPr>
        <w:t>）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7"/>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w:t>
      </w:r>
      <w:r>
        <w:rPr>
          <w:rFonts w:hint="eastAsia" w:ascii="Times New Roman" w:hAnsi="Times New Roman"/>
          <w:color w:val="222222"/>
          <w:szCs w:val="21"/>
        </w:rPr>
        <w:t>三</w:t>
      </w:r>
      <w:r>
        <w:rPr>
          <w:rFonts w:ascii="Times New Roman" w:hAnsi="Times New Roman"/>
          <w:color w:val="222222"/>
          <w:szCs w:val="21"/>
        </w:rPr>
        <w:t>）竞买申请人或竞得人有充分理由证明其违约是因不可抗力造成的，可部分或全部免除其违约责任。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olor w:val="222222"/>
          <w:szCs w:val="21"/>
        </w:rPr>
      </w:pPr>
      <w:r>
        <w:rPr>
          <w:rStyle w:val="7"/>
          <w:rFonts w:hint="eastAsia" w:ascii="Times New Roman" w:hAnsi="Times New Roman"/>
          <w:color w:val="222222"/>
          <w:szCs w:val="21"/>
        </w:rPr>
        <w:t>十</w:t>
      </w:r>
      <w:r>
        <w:rPr>
          <w:rStyle w:val="7"/>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w:t>
      </w:r>
      <w:r>
        <w:rPr>
          <w:rFonts w:hint="eastAsia" w:ascii="Times New Roman" w:hAnsi="Times New Roman"/>
          <w:szCs w:val="21"/>
        </w:rPr>
        <w:t>周边</w:t>
      </w:r>
      <w:r>
        <w:rPr>
          <w:rFonts w:ascii="Times New Roman" w:hAnsi="Times New Roman"/>
          <w:szCs w:val="21"/>
        </w:rPr>
        <w:t>，可能存在有基本农田及建设项目，竞得人进行的勘查、开发活动不得占用基本农田和改变基本农田现状，不能对已有建设项目造成不良影响。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2" w:firstLineChars="200"/>
        <w:rPr>
          <w:rStyle w:val="7"/>
          <w:rFonts w:ascii="Times New Roman" w:hAnsi="Times New Roman"/>
          <w:szCs w:val="21"/>
        </w:rPr>
      </w:pPr>
      <w:r>
        <w:rPr>
          <w:rStyle w:val="7"/>
          <w:rFonts w:hint="eastAsia" w:ascii="Times New Roman" w:hAnsi="Times New Roman"/>
          <w:szCs w:val="21"/>
        </w:rPr>
        <w:t>十</w:t>
      </w:r>
      <w:r>
        <w:rPr>
          <w:rStyle w:val="7"/>
          <w:rFonts w:ascii="Times New Roman" w:hAnsi="Times New Roman"/>
          <w:szCs w:val="21"/>
        </w:rPr>
        <w:t>、其他重要提示</w:t>
      </w:r>
    </w:p>
    <w:p>
      <w:pPr>
        <w:spacing w:line="360" w:lineRule="exact"/>
        <w:ind w:firstLine="420" w:firstLineChars="200"/>
        <w:rPr>
          <w:rFonts w:ascii="Times New Roman" w:hAnsi="Times New Roman"/>
          <w:szCs w:val="21"/>
        </w:rPr>
      </w:pPr>
      <w:r>
        <w:rPr>
          <w:rFonts w:hint="eastAsia" w:ascii="Times New Roman" w:hAnsi="Times New Roman"/>
          <w:szCs w:val="21"/>
        </w:rPr>
        <w:t>1、本宗探矿权无出让底价，价高者得。竞买申请人须认真详读出让文件、了解矿山基本情况，竞得人在探矿权区块范围内开展勘查工作中，应加强生态环境保护，因勘探工作需要造成的破坏应及时进行修复。竞得人竞得后应委托有资质单位依据《矿业权出让技术报告》编制勘查实施方案，及时申请开工备案。</w:t>
      </w:r>
    </w:p>
    <w:p>
      <w:pPr>
        <w:spacing w:line="360" w:lineRule="exact"/>
        <w:ind w:firstLine="420" w:firstLineChars="200"/>
        <w:rPr>
          <w:rFonts w:ascii="Times New Roman" w:hAnsi="Times New Roman"/>
          <w:szCs w:val="21"/>
        </w:rPr>
      </w:pPr>
      <w:r>
        <w:rPr>
          <w:rFonts w:hint="eastAsia" w:ascii="Times New Roman" w:hAnsi="Times New Roman"/>
          <w:szCs w:val="21"/>
        </w:rPr>
        <w:t>2、该宗探矿权前期投入费用共计15.97万元，未包含在探矿权出让收益起始价97.74万元中，竞买人竞得后5个工作日内，需一次性支付至指定账户（探矿权出让技术报告金额：10.02万元，收款单位：重庆市二零八地质环境研究院有限公司，开户行：建行北碚支行，账号：50001093600050004078；探矿权评估报告及资产评估报告金额：5.95万元，收款单位：重庆市国能矿业权资产评估有限公司，开户行：中国工商银行重庆较场口支行，账号：3100021509024567075）。</w:t>
      </w:r>
    </w:p>
    <w:p>
      <w:pPr>
        <w:spacing w:line="360" w:lineRule="exact"/>
        <w:ind w:firstLine="420" w:firstLineChars="200"/>
        <w:rPr>
          <w:rFonts w:ascii="Times New Roman" w:hAnsi="Times New Roman"/>
          <w:szCs w:val="21"/>
        </w:rPr>
      </w:pPr>
      <w:r>
        <w:rPr>
          <w:rFonts w:hint="eastAsia" w:ascii="Times New Roman" w:hAnsi="Times New Roman"/>
          <w:szCs w:val="21"/>
        </w:rPr>
        <w:t>3、若本次公开出让采取拍卖方式，产生的拍卖费用由竞得人承担。</w:t>
      </w:r>
    </w:p>
    <w:p>
      <w:pPr>
        <w:spacing w:line="360" w:lineRule="exact"/>
        <w:ind w:firstLine="420" w:firstLineChars="200"/>
        <w:rPr>
          <w:rFonts w:ascii="Times New Roman" w:hAnsi="Times New Roman"/>
          <w:szCs w:val="21"/>
        </w:rPr>
      </w:pPr>
      <w:r>
        <w:rPr>
          <w:rFonts w:hint="eastAsia" w:ascii="Times New Roman" w:hAnsi="Times New Roman"/>
          <w:szCs w:val="21"/>
        </w:rPr>
        <w:t>4、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spacing w:line="360" w:lineRule="exact"/>
        <w:ind w:firstLine="422" w:firstLineChars="200"/>
        <w:rPr>
          <w:rStyle w:val="7"/>
          <w:color w:val="222222"/>
          <w:szCs w:val="21"/>
        </w:rPr>
      </w:pPr>
      <w:r>
        <w:rPr>
          <w:rStyle w:val="7"/>
          <w:rFonts w:hint="eastAsia"/>
          <w:color w:val="222222"/>
          <w:szCs w:val="21"/>
        </w:rPr>
        <w:t>十一、</w:t>
      </w:r>
      <w:r>
        <w:rPr>
          <w:rStyle w:val="7"/>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重庆市璧山区规划和自然资源局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重庆市璧山区公共资源交易中心</w:t>
      </w:r>
      <w:r>
        <w:rPr>
          <w:rFonts w:ascii="Times New Roman" w:hAnsi="Times New Roman"/>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（申请人自填）</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w:t>
      </w:r>
      <w:r>
        <w:rPr>
          <w:rFonts w:hint="eastAsia" w:ascii="Times New Roman" w:hAnsi="Times New Roman"/>
          <w:szCs w:val="21"/>
        </w:rPr>
        <w:t xml:space="preserve">  </w:t>
      </w:r>
      <w:r>
        <w:rPr>
          <w:rFonts w:ascii="Times New Roman" w:hAnsi="Times New Roman"/>
          <w:szCs w:val="21"/>
        </w:rPr>
        <w:t xml:space="preserve">年 </w:t>
      </w:r>
      <w:r>
        <w:rPr>
          <w:rFonts w:hint="eastAsia" w:ascii="Times New Roman" w:hAnsi="Times New Roman"/>
          <w:szCs w:val="21"/>
        </w:rPr>
        <w:t xml:space="preserve"> </w:t>
      </w:r>
      <w:r>
        <w:rPr>
          <w:rFonts w:ascii="Times New Roman" w:hAnsi="Times New Roman"/>
          <w:szCs w:val="21"/>
        </w:rPr>
        <w:t>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Pr>
        <w:spacing w:line="360" w:lineRule="exact"/>
        <w:ind w:firstLine="420" w:firstLineChars="200"/>
        <w:rPr>
          <w:rFonts w:ascii="Times New Roman" w:hAnsi="Times New Roman"/>
          <w:szCs w:val="21"/>
        </w:rPr>
      </w:pPr>
      <w:r>
        <w:rPr>
          <w:rFonts w:hint="eastAsia" w:ascii="Times New Roman" w:hAnsi="Times New Roman"/>
          <w:color w:val="222222"/>
          <w:szCs w:val="21"/>
        </w:rPr>
        <w:t>附件六：《退付保证金授权声明》</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F1D35"/>
    <w:rsid w:val="00015C20"/>
    <w:rsid w:val="00076A12"/>
    <w:rsid w:val="000C142A"/>
    <w:rsid w:val="000D4C1F"/>
    <w:rsid w:val="00102BED"/>
    <w:rsid w:val="00111045"/>
    <w:rsid w:val="00114D1D"/>
    <w:rsid w:val="00157CCA"/>
    <w:rsid w:val="0018253D"/>
    <w:rsid w:val="00190441"/>
    <w:rsid w:val="001A13F0"/>
    <w:rsid w:val="001B7285"/>
    <w:rsid w:val="00216F07"/>
    <w:rsid w:val="00244556"/>
    <w:rsid w:val="0027714A"/>
    <w:rsid w:val="002968E2"/>
    <w:rsid w:val="002A7171"/>
    <w:rsid w:val="002B5E92"/>
    <w:rsid w:val="002C08F4"/>
    <w:rsid w:val="002C221A"/>
    <w:rsid w:val="002C32D6"/>
    <w:rsid w:val="00377E56"/>
    <w:rsid w:val="0038191F"/>
    <w:rsid w:val="00393E5E"/>
    <w:rsid w:val="003B2664"/>
    <w:rsid w:val="003B6681"/>
    <w:rsid w:val="003D4D02"/>
    <w:rsid w:val="003E0B2B"/>
    <w:rsid w:val="003E7D63"/>
    <w:rsid w:val="00412B0B"/>
    <w:rsid w:val="00421DCB"/>
    <w:rsid w:val="00460459"/>
    <w:rsid w:val="00480152"/>
    <w:rsid w:val="004A5EAF"/>
    <w:rsid w:val="004B29BD"/>
    <w:rsid w:val="004E5E23"/>
    <w:rsid w:val="005166E9"/>
    <w:rsid w:val="00530024"/>
    <w:rsid w:val="00565B0D"/>
    <w:rsid w:val="0059403C"/>
    <w:rsid w:val="005F129A"/>
    <w:rsid w:val="006026F3"/>
    <w:rsid w:val="00623448"/>
    <w:rsid w:val="006666B2"/>
    <w:rsid w:val="00684526"/>
    <w:rsid w:val="006F2AD0"/>
    <w:rsid w:val="00752586"/>
    <w:rsid w:val="007877CF"/>
    <w:rsid w:val="007D4D29"/>
    <w:rsid w:val="007E5C52"/>
    <w:rsid w:val="008069A8"/>
    <w:rsid w:val="008232CE"/>
    <w:rsid w:val="00826F54"/>
    <w:rsid w:val="00874773"/>
    <w:rsid w:val="00893E77"/>
    <w:rsid w:val="008D7DE3"/>
    <w:rsid w:val="008F487C"/>
    <w:rsid w:val="0091416A"/>
    <w:rsid w:val="00967D0B"/>
    <w:rsid w:val="009B2ED9"/>
    <w:rsid w:val="009D1C56"/>
    <w:rsid w:val="009F257C"/>
    <w:rsid w:val="00A15105"/>
    <w:rsid w:val="00A1655E"/>
    <w:rsid w:val="00A16AFC"/>
    <w:rsid w:val="00A16C5B"/>
    <w:rsid w:val="00A314C7"/>
    <w:rsid w:val="00A3797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CA15AA"/>
    <w:rsid w:val="00D02A56"/>
    <w:rsid w:val="00D12FD7"/>
    <w:rsid w:val="00D4632F"/>
    <w:rsid w:val="00DE365D"/>
    <w:rsid w:val="00DF1014"/>
    <w:rsid w:val="00DF1434"/>
    <w:rsid w:val="00E16185"/>
    <w:rsid w:val="00E6799F"/>
    <w:rsid w:val="00E7278E"/>
    <w:rsid w:val="00E81897"/>
    <w:rsid w:val="00E860C2"/>
    <w:rsid w:val="00E96856"/>
    <w:rsid w:val="00F0150D"/>
    <w:rsid w:val="00F03E9D"/>
    <w:rsid w:val="00F529C9"/>
    <w:rsid w:val="00FB6553"/>
    <w:rsid w:val="09F97DA0"/>
    <w:rsid w:val="0D340E7A"/>
    <w:rsid w:val="13FB728B"/>
    <w:rsid w:val="162F1D35"/>
    <w:rsid w:val="2D883F74"/>
    <w:rsid w:val="38AC0EEB"/>
    <w:rsid w:val="38F93A7D"/>
    <w:rsid w:val="3BB01B40"/>
    <w:rsid w:val="3E5371A0"/>
    <w:rsid w:val="442C60C4"/>
    <w:rsid w:val="48911910"/>
    <w:rsid w:val="4AEE463A"/>
    <w:rsid w:val="5C331406"/>
    <w:rsid w:val="61C47D8B"/>
    <w:rsid w:val="66E42662"/>
    <w:rsid w:val="75E7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table" w:customStyle="1" w:styleId="9">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页眉 Char"/>
    <w:basedOn w:val="6"/>
    <w:link w:val="4"/>
    <w:qFormat/>
    <w:uiPriority w:val="0"/>
    <w:rPr>
      <w:rFonts w:ascii="Calibri" w:hAnsi="Calibri" w:eastAsia="宋体" w:cs="Times New Roman"/>
      <w:kern w:val="2"/>
      <w:sz w:val="18"/>
      <w:szCs w:val="18"/>
    </w:rPr>
  </w:style>
  <w:style w:type="character" w:customStyle="1" w:styleId="11">
    <w:name w:val="批注框文本 Char"/>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1152</Words>
  <Characters>6570</Characters>
  <Lines>54</Lines>
  <Paragraphs>15</Paragraphs>
  <TotalTime>0</TotalTime>
  <ScaleCrop>false</ScaleCrop>
  <LinksUpToDate>false</LinksUpToDate>
  <CharactersWithSpaces>7707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赵国华</cp:lastModifiedBy>
  <cp:lastPrinted>2023-03-07T05:34:00Z</cp:lastPrinted>
  <dcterms:modified xsi:type="dcterms:W3CDTF">2023-03-16T01:29:23Z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