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渝矿采出字〔2023〕（涪陵）1号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asciiTheme="minorEastAsia" w:hAnsiTheme="minorEastAsia"/>
          <w:sz w:val="24"/>
        </w:rPr>
        <w:t>2023</w:t>
      </w:r>
      <w:r>
        <w:rPr>
          <w:rFonts w:hint="eastAsia" w:asciiTheme="minorEastAsia" w:hAnsiTheme="minorEastAsia"/>
          <w:sz w:val="24"/>
        </w:rPr>
        <w:t>年</w:t>
      </w:r>
      <w:r>
        <w:rPr>
          <w:rFonts w:hint="eastAsia" w:asciiTheme="minorEastAsia" w:hAnsiTheme="minorEastAsia"/>
          <w:sz w:val="24"/>
        </w:rPr>
        <w:t>3</w:t>
      </w:r>
      <w:r>
        <w:rPr>
          <w:rFonts w:hint="eastAsia" w:asciiTheme="minorEastAsia" w:hAnsiTheme="minorEastAsia"/>
          <w:sz w:val="24"/>
        </w:rPr>
        <w:t>月</w:t>
      </w:r>
      <w:r>
        <w:rPr>
          <w:rFonts w:hint="eastAsia" w:asciiTheme="minorEastAsia" w:hAnsiTheme="minorEastAsia"/>
          <w:sz w:val="24"/>
        </w:rPr>
        <w:t>29</w:t>
      </w:r>
      <w:r>
        <w:rPr>
          <w:rFonts w:hint="eastAsia" w:asciiTheme="minorEastAsia" w:hAnsiTheme="minorEastAsia"/>
          <w:sz w:val="24"/>
        </w:rPr>
        <w:t>日</w:t>
      </w:r>
      <w:r>
        <w:rPr>
          <w:rFonts w:asciiTheme="minorEastAsia" w:hAnsiTheme="minorEastAsia"/>
          <w:sz w:val="24"/>
        </w:rPr>
        <w:t>12时-2023年</w:t>
      </w:r>
      <w:r>
        <w:rPr>
          <w:rFonts w:hint="eastAsia" w:asciiTheme="minorEastAsia" w:hAnsiTheme="minorEastAsia"/>
          <w:sz w:val="24"/>
        </w:rPr>
        <w:t>4</w:t>
      </w:r>
      <w:r>
        <w:rPr>
          <w:rFonts w:hint="eastAsia" w:asciiTheme="minorEastAsia" w:hAnsiTheme="minorEastAsia"/>
          <w:sz w:val="24"/>
        </w:rPr>
        <w:t>月</w:t>
      </w:r>
      <w:r>
        <w:rPr>
          <w:rFonts w:hint="eastAsia" w:asciiTheme="minorEastAsia" w:hAnsiTheme="minorEastAsia"/>
          <w:sz w:val="24"/>
        </w:rPr>
        <w:t>26</w:t>
      </w:r>
      <w:r>
        <w:rPr>
          <w:rFonts w:hint="eastAsia" w:asciiTheme="minorEastAsia" w:hAnsiTheme="minorEastAsia"/>
          <w:sz w:val="24"/>
        </w:rPr>
        <w:t>日</w:t>
      </w:r>
      <w:r>
        <w:rPr>
          <w:rFonts w:hint="eastAsia" w:asciiTheme="minorEastAsia" w:hAnsiTheme="minorEastAsia"/>
          <w:sz w:val="24"/>
        </w:rPr>
        <w:t>12时</w:t>
      </w:r>
      <w:r>
        <w:rPr>
          <w:rFonts w:asciiTheme="minorEastAsia" w:hAnsiTheme="minorEastAsia"/>
          <w:sz w:val="24"/>
        </w:rPr>
        <w:t>。</w:t>
      </w:r>
      <w:r>
        <w:rPr>
          <w:rFonts w:hint="eastAsia" w:asciiTheme="minorEastAsia" w:hAnsiTheme="minorEastAsia"/>
          <w:sz w:val="24"/>
        </w:rPr>
        <w:t>采用挂牌方式出让，挂牌时间为2023年4月26日12时</w:t>
      </w:r>
      <w:r>
        <w:rPr>
          <w:rFonts w:asciiTheme="minorEastAsia" w:hAnsiTheme="minorEastAsia"/>
          <w:sz w:val="24"/>
        </w:rPr>
        <w:t>-</w:t>
      </w:r>
      <w:r>
        <w:rPr>
          <w:rFonts w:hint="eastAsia" w:asciiTheme="minorEastAsia" w:hAnsiTheme="minorEastAsia"/>
          <w:sz w:val="24"/>
        </w:rPr>
        <w:t>2023年5月12日</w:t>
      </w:r>
      <w:r>
        <w:rPr>
          <w:rFonts w:hint="eastAsia" w:asciiTheme="minorEastAsia" w:hAnsiTheme="minorEastAsia"/>
          <w:sz w:val="24"/>
        </w:rPr>
        <w:t>12时，具体方式详见《竞买须知》</w:t>
      </w:r>
      <w:r>
        <w:rPr>
          <w:rFonts w:asciiTheme="minorEastAsia" w:hAnsiTheme="minorEastAsia"/>
          <w:sz w:val="24"/>
        </w:rPr>
        <w:t>。本次公开出让的采矿权采用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重庆涪陵公共资源交易有限公司</w:t>
      </w:r>
      <w:r>
        <w:rPr>
          <w:rFonts w:asciiTheme="minorEastAsia" w:hAnsiTheme="minorEastAsia"/>
          <w:sz w:val="24"/>
        </w:rPr>
        <w:t>索取相关资料并进行报名。地址：</w:t>
      </w:r>
      <w:r>
        <w:rPr>
          <w:rFonts w:hint="eastAsia" w:asciiTheme="minorEastAsia" w:hAnsiTheme="minorEastAsia"/>
          <w:sz w:val="24"/>
        </w:rPr>
        <w:t>重庆市涪陵新区太白大道34号汇智国际大厦1楼</w:t>
      </w:r>
      <w:r>
        <w:rPr>
          <w:rFonts w:asciiTheme="minorEastAsia" w:hAnsiTheme="minorEastAsia"/>
          <w:sz w:val="24"/>
        </w:rPr>
        <w:t>，联系电话：</w:t>
      </w:r>
      <w:r>
        <w:rPr>
          <w:rFonts w:hint="eastAsia" w:asciiTheme="minorEastAsia" w:hAnsiTheme="minorEastAsia"/>
          <w:sz w:val="24"/>
        </w:rPr>
        <w:t>18623275921</w:t>
      </w:r>
      <w:r>
        <w:rPr>
          <w:rFonts w:asciiTheme="minorEastAsia" w:hAnsiTheme="minorEastAsia"/>
          <w:sz w:val="24"/>
        </w:rPr>
        <w:t>，联系人：</w:t>
      </w:r>
      <w:r>
        <w:rPr>
          <w:rFonts w:hint="eastAsia" w:asciiTheme="minorEastAsia" w:hAnsiTheme="minorEastAsia"/>
          <w:sz w:val="24"/>
        </w:rPr>
        <w:t>祝老师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同步发布的网站：重庆市规划和自然资源局网站：http://ghzrzyj.cq.gov.cn、重庆市公共资源交易</w:t>
      </w:r>
      <w:r>
        <w:rPr>
          <w:rFonts w:asciiTheme="minorEastAsia" w:hAnsiTheme="minorEastAsia"/>
          <w:sz w:val="24"/>
        </w:rPr>
        <w:t>网</w:t>
      </w:r>
      <w:r>
        <w:rPr>
          <w:rFonts w:hint="eastAsia" w:asciiTheme="minorEastAsia" w:hAnsiTheme="minorEastAsia"/>
          <w:sz w:val="24"/>
        </w:rPr>
        <w:t>（涪陵区）</w:t>
      </w:r>
      <w:r>
        <w:rPr>
          <w:rFonts w:asciiTheme="minorEastAsia" w:hAnsiTheme="minorEastAsia"/>
          <w:sz w:val="24"/>
        </w:rPr>
        <w:t>：</w:t>
      </w:r>
      <w:r>
        <w:rPr>
          <w:rFonts w:hint="eastAsia" w:asciiTheme="minorEastAsia" w:hAnsiTheme="minorEastAsia"/>
          <w:sz w:val="24"/>
        </w:rPr>
        <w:t xml:space="preserve">https://www.cqggzy.com/fulingweb/、其他渠道http://www.mnr.gov.cn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FLGC202</w:t>
            </w:r>
            <w:r>
              <w:rPr>
                <w:rFonts w:hint="eastAsia" w:ascii="Times New Roman" w:hAnsi="Times New Roman"/>
                <w:szCs w:val="21"/>
              </w:rPr>
              <w:t>301</w:t>
            </w:r>
          </w:p>
        </w:tc>
        <w:tc>
          <w:tcPr>
            <w:tcW w:w="1510" w:type="dxa"/>
            <w:vAlign w:val="center"/>
          </w:tcPr>
          <w:p>
            <w:pPr>
              <w:jc w:val="center"/>
              <w:rPr>
                <w:rFonts w:ascii="Times New Roman" w:hAnsi="Times New Roman"/>
                <w:szCs w:val="21"/>
              </w:rPr>
            </w:pPr>
            <w:r>
              <w:rPr>
                <w:rFonts w:hint="eastAsia" w:ascii="Times New Roman" w:hAnsi="Times New Roman"/>
                <w:szCs w:val="21"/>
              </w:rPr>
              <w:t>涪陵区罗云乡鱼亭子村檬子树脚建筑石料用灰岩矿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涪陵区罗云镇鱼亭子村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7820.1万吨</w:t>
            </w:r>
          </w:p>
        </w:tc>
        <w:tc>
          <w:tcPr>
            <w:tcW w:w="1343" w:type="dxa"/>
            <w:vAlign w:val="center"/>
          </w:tcPr>
          <w:p>
            <w:pPr>
              <w:jc w:val="center"/>
              <w:rPr>
                <w:rFonts w:ascii="Times New Roman" w:hAnsi="Times New Roman"/>
                <w:szCs w:val="21"/>
              </w:rPr>
            </w:pPr>
            <w:r>
              <w:rPr>
                <w:rFonts w:hint="eastAsia" w:ascii="Times New Roman" w:hAnsi="Times New Roman"/>
                <w:szCs w:val="21"/>
              </w:rPr>
              <w:t>0.6228</w:t>
            </w:r>
          </w:p>
        </w:tc>
        <w:tc>
          <w:tcPr>
            <w:tcW w:w="1140" w:type="dxa"/>
            <w:vAlign w:val="center"/>
          </w:tcPr>
          <w:p>
            <w:pPr>
              <w:jc w:val="center"/>
              <w:rPr>
                <w:rFonts w:ascii="Times New Roman" w:hAnsi="Times New Roman"/>
              </w:rPr>
            </w:pPr>
            <w:r>
              <w:rPr>
                <w:rFonts w:hint="eastAsia" w:ascii="Times New Roman" w:hAnsi="Times New Roman"/>
              </w:rPr>
              <w:t>+900米至</w:t>
            </w:r>
            <w:r>
              <w:rPr>
                <w:rFonts w:hint="eastAsia" w:ascii="Times New Roman" w:hAnsi="Times New Roman"/>
                <w:szCs w:val="21"/>
              </w:rPr>
              <w:t>+631</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200万吨/年</w:t>
            </w:r>
          </w:p>
        </w:tc>
        <w:tc>
          <w:tcPr>
            <w:tcW w:w="851" w:type="dxa"/>
            <w:vAlign w:val="center"/>
          </w:tcPr>
          <w:p>
            <w:pPr>
              <w:jc w:val="center"/>
              <w:rPr>
                <w:rFonts w:ascii="Times New Roman" w:hAnsi="Times New Roman"/>
                <w:szCs w:val="21"/>
              </w:rPr>
            </w:pPr>
            <w:r>
              <w:rPr>
                <w:rFonts w:hint="eastAsia" w:ascii="Times New Roman" w:hAnsi="Times New Roman"/>
                <w:szCs w:val="21"/>
              </w:rPr>
              <w:t>24</w:t>
            </w:r>
          </w:p>
        </w:tc>
        <w:tc>
          <w:tcPr>
            <w:tcW w:w="1134" w:type="dxa"/>
            <w:vAlign w:val="center"/>
          </w:tcPr>
          <w:p>
            <w:pPr>
              <w:jc w:val="center"/>
              <w:rPr>
                <w:rFonts w:ascii="Times New Roman" w:hAnsi="Times New Roman"/>
                <w:szCs w:val="21"/>
              </w:rPr>
            </w:pPr>
            <w:r>
              <w:rPr>
                <w:rFonts w:hint="eastAsia" w:ascii="Times New Roman" w:hAnsi="Times New Roman"/>
                <w:szCs w:val="21"/>
              </w:rPr>
              <w:t>25806.33</w:t>
            </w:r>
          </w:p>
        </w:tc>
        <w:tc>
          <w:tcPr>
            <w:tcW w:w="916" w:type="dxa"/>
            <w:vAlign w:val="center"/>
          </w:tcPr>
          <w:p>
            <w:pPr>
              <w:jc w:val="center"/>
              <w:rPr>
                <w:rFonts w:ascii="Times New Roman" w:hAnsi="Times New Roman"/>
                <w:szCs w:val="21"/>
              </w:rPr>
            </w:pPr>
            <w:r>
              <w:rPr>
                <w:rFonts w:hint="eastAsia" w:ascii="Times New Roman" w:hAnsi="Times New Roman"/>
                <w:szCs w:val="21"/>
              </w:rPr>
              <w:t>2600</w:t>
            </w:r>
          </w:p>
        </w:tc>
      </w:tr>
    </w:tbl>
    <w:p>
      <w:pPr>
        <w:spacing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FLGC202301</w:t>
      </w:r>
      <w:r>
        <w:rPr>
          <w:rFonts w:asciiTheme="minorEastAsia" w:hAnsiTheme="minorEastAsia"/>
          <w:sz w:val="24"/>
          <w:szCs w:val="24"/>
        </w:rPr>
        <w:t xml:space="preserve"> 采矿权出让人：</w:t>
      </w:r>
      <w:r>
        <w:rPr>
          <w:rFonts w:hint="eastAsia" w:asciiTheme="minorEastAsia" w:hAnsiTheme="minorEastAsia"/>
          <w:sz w:val="24"/>
          <w:szCs w:val="24"/>
        </w:rPr>
        <w:t>重庆市涪陵区规划和自然资源局</w:t>
      </w:r>
      <w:r>
        <w:rPr>
          <w:rFonts w:asciiTheme="minorEastAsia" w:hAnsiTheme="minorEastAsia"/>
          <w:sz w:val="24"/>
          <w:szCs w:val="24"/>
        </w:rPr>
        <w:t>，地址：</w:t>
      </w:r>
      <w:r>
        <w:rPr>
          <w:rFonts w:hint="eastAsia" w:cs="宋体" w:asciiTheme="minorEastAsia" w:hAnsiTheme="minorEastAsia"/>
          <w:sz w:val="24"/>
          <w:szCs w:val="24"/>
        </w:rPr>
        <w:t>重庆市涪陵区体育南路7号</w:t>
      </w:r>
      <w:r>
        <w:rPr>
          <w:rFonts w:asciiTheme="minorEastAsia" w:hAnsiTheme="minorEastAsia"/>
          <w:sz w:val="24"/>
          <w:szCs w:val="24"/>
        </w:rPr>
        <w:t>，联系人：</w:t>
      </w:r>
      <w:r>
        <w:rPr>
          <w:rFonts w:hint="eastAsia" w:cs="宋体" w:asciiTheme="minorEastAsia" w:hAnsiTheme="minorEastAsia"/>
          <w:sz w:val="24"/>
          <w:szCs w:val="24"/>
        </w:rPr>
        <w:t>游老师</w:t>
      </w:r>
      <w:r>
        <w:rPr>
          <w:rFonts w:asciiTheme="minorEastAsia" w:hAnsiTheme="minorEastAsia"/>
          <w:sz w:val="24"/>
          <w:szCs w:val="24"/>
        </w:rPr>
        <w:t>，联系电话：</w:t>
      </w:r>
      <w:r>
        <w:rPr>
          <w:rFonts w:hint="eastAsia" w:asciiTheme="minorEastAsia" w:hAnsiTheme="minorEastAsia"/>
          <w:sz w:val="24"/>
          <w:szCs w:val="24"/>
        </w:rPr>
        <w:t>023-72279378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中国建设银行重庆涪陵李渡新区支行分行账</w:t>
      </w:r>
      <w:r>
        <w:rPr>
          <w:rFonts w:asciiTheme="minorEastAsia" w:hAnsiTheme="minorEastAsia"/>
          <w:sz w:val="24"/>
          <w:szCs w:val="24"/>
        </w:rPr>
        <w:t>号：</w:t>
      </w:r>
      <w:r>
        <w:rPr>
          <w:rFonts w:hint="eastAsia" w:asciiTheme="minorEastAsia" w:hAnsiTheme="minorEastAsia"/>
          <w:sz w:val="24"/>
          <w:szCs w:val="24"/>
        </w:rPr>
        <w:t>50050131004100001007</w:t>
      </w:r>
      <w:r>
        <w:rPr>
          <w:rFonts w:asciiTheme="minorEastAsia" w:hAnsiTheme="minorEastAsia"/>
          <w:sz w:val="24"/>
          <w:szCs w:val="24"/>
        </w:rPr>
        <w:t>。保证金户名：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招商银行重庆涪陵分行营业部账</w:t>
      </w:r>
      <w:r>
        <w:rPr>
          <w:rFonts w:asciiTheme="minorEastAsia" w:hAnsiTheme="minorEastAsia"/>
          <w:sz w:val="24"/>
          <w:szCs w:val="24"/>
        </w:rPr>
        <w:t>号：</w:t>
      </w:r>
      <w:r>
        <w:rPr>
          <w:rFonts w:hint="eastAsia" w:asciiTheme="minorEastAsia" w:hAnsiTheme="minorEastAsia"/>
          <w:sz w:val="24"/>
          <w:szCs w:val="24"/>
        </w:rPr>
        <w:t>123913111110401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w:t>
      </w:r>
      <w:r>
        <w:rPr>
          <w:rFonts w:hint="eastAsia" w:asciiTheme="minorEastAsia" w:hAnsiTheme="minorEastAsia"/>
          <w:sz w:val="24"/>
        </w:rPr>
        <w:t>金到账截止时间为：</w:t>
      </w:r>
      <w:r>
        <w:rPr>
          <w:rFonts w:hint="eastAsia" w:asciiTheme="minorEastAsia" w:hAnsiTheme="minorEastAsia"/>
          <w:sz w:val="24"/>
        </w:rPr>
        <w:t>2023年</w:t>
      </w:r>
      <w:r>
        <w:rPr>
          <w:rFonts w:hint="eastAsia" w:asciiTheme="minorEastAsia" w:hAnsiTheme="minorEastAsia"/>
          <w:sz w:val="24"/>
        </w:rPr>
        <w:t>4月26日</w:t>
      </w:r>
      <w:r>
        <w:rPr>
          <w:rFonts w:hint="eastAsia" w:asciiTheme="minorEastAsia" w:hAnsiTheme="minorEastAsia"/>
          <w:sz w:val="24"/>
        </w:rPr>
        <w:t>12时。</w:t>
      </w:r>
      <w:r>
        <w:rPr>
          <w:rFonts w:hint="eastAsia" w:asciiTheme="minorEastAsia" w:hAnsiTheme="minorEastAsia"/>
          <w:sz w:val="24"/>
        </w:rPr>
        <w:t>如成功竞得，已缴纳的保证金应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重庆市涪陵区规划和自然资源局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重庆涪陵公共资源交易有限公司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Cs/>
        </w:rPr>
      </w:pPr>
      <w:r>
        <w:rPr>
          <w:rFonts w:hint="eastAsia" w:ascii="Times New Roman" w:hAnsi="Times New Roman"/>
          <w:bCs/>
          <w:sz w:val="24"/>
        </w:rPr>
        <w:t>七、其他重要提示及要求：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（一）截止2022年9月30日，该宗采矿权新划定矿区内保有建筑石料用灰岩矿资源储量为</w:t>
      </w:r>
      <w:r>
        <w:rPr>
          <w:rFonts w:ascii="Times New Roman" w:hAnsi="Times New Roman"/>
          <w:sz w:val="24"/>
        </w:rPr>
        <w:t>8936.7</w:t>
      </w:r>
      <w:r>
        <w:rPr>
          <w:rFonts w:hint="eastAsia" w:ascii="Times New Roman" w:hAnsi="Times New Roman"/>
          <w:sz w:val="24"/>
        </w:rPr>
        <w:t>万吨，除去原矿区已出让剩余资源</w:t>
      </w:r>
      <w:r>
        <w:rPr>
          <w:rFonts w:ascii="Times New Roman" w:hAnsi="Times New Roman"/>
          <w:sz w:val="24"/>
          <w:lang w:val="en-US"/>
        </w:rPr>
        <w:t>1116.6</w:t>
      </w:r>
      <w:r>
        <w:rPr>
          <w:rFonts w:hint="eastAsia" w:ascii="Times New Roman" w:hAnsi="Times New Roman"/>
          <w:sz w:val="24"/>
        </w:rPr>
        <w:t>万吨，本次公开出让资源储量为</w:t>
      </w:r>
      <w:r>
        <w:rPr>
          <w:rFonts w:ascii="Times New Roman" w:hAnsi="Times New Roman"/>
          <w:sz w:val="24"/>
          <w:lang w:val="en-US"/>
        </w:rPr>
        <w:t>7820.1</w:t>
      </w:r>
      <w:r>
        <w:rPr>
          <w:rFonts w:hint="eastAsia" w:ascii="Times New Roman" w:hAnsi="Times New Roman"/>
          <w:sz w:val="24"/>
        </w:rPr>
        <w:t>万吨。</w:t>
      </w:r>
    </w:p>
    <w:p>
      <w:pPr>
        <w:spacing w:line="360" w:lineRule="exact"/>
        <w:ind w:firstLine="480" w:firstLineChars="200"/>
        <w:rPr>
          <w:rFonts w:hint="eastAsia" w:ascii="Times New Roman" w:hAnsi="Times New Roman"/>
          <w:sz w:val="24"/>
        </w:rPr>
      </w:pPr>
      <w:r>
        <w:rPr>
          <w:rFonts w:hint="eastAsia" w:ascii="Times New Roman" w:hAnsi="Times New Roman"/>
          <w:sz w:val="24"/>
        </w:rPr>
        <w:t>（二）该宗采矿权属已建矿山增划资源公开出让，新竞得人需要同时对原采矿权人固定资产进行转接。采矿权竞买申请人除须交纳竞买保证金外，还需全额缴纳原采矿权人的固定资产市场评审价值共计</w:t>
      </w:r>
      <w:r>
        <w:rPr>
          <w:rFonts w:ascii="Times New Roman" w:hAnsi="Times New Roman"/>
          <w:sz w:val="24"/>
        </w:rPr>
        <w:t>22241.55</w:t>
      </w:r>
      <w:r>
        <w:rPr>
          <w:rFonts w:hint="eastAsia" w:ascii="Times New Roman" w:hAnsi="Times New Roman"/>
          <w:sz w:val="24"/>
        </w:rPr>
        <w:t>万元至固定资产转接保证金账户（原采矿权人参与本次竞买需持区规划自然资源局相关证明材料按竞买要求参与竞买，详见竞买须知）。未按时到帐的，不予受理竞买报名资格。</w:t>
      </w:r>
    </w:p>
    <w:p>
      <w:pPr>
        <w:spacing w:line="360" w:lineRule="exact"/>
        <w:ind w:firstLine="480" w:firstLineChars="200"/>
        <w:rPr>
          <w:rFonts w:ascii="Times New Roman" w:hAnsi="Times New Roman"/>
          <w:sz w:val="24"/>
        </w:rPr>
      </w:pPr>
      <w:r>
        <w:rPr>
          <w:rFonts w:hint="eastAsia" w:ascii="Times New Roman" w:hAnsi="Times New Roman"/>
          <w:sz w:val="24"/>
        </w:rPr>
        <w:t>（三）截止2022年9月30日，该宗采矿权原矿区范围内已出让剩余资源储量约</w:t>
      </w:r>
      <w:r>
        <w:rPr>
          <w:rFonts w:ascii="Times New Roman" w:hAnsi="Times New Roman"/>
          <w:sz w:val="24"/>
          <w:lang w:val="en-US"/>
        </w:rPr>
        <w:t>1116.6</w:t>
      </w:r>
      <w:r>
        <w:rPr>
          <w:rFonts w:hint="eastAsia" w:ascii="Times New Roman" w:hAnsi="Times New Roman"/>
          <w:sz w:val="24"/>
        </w:rPr>
        <w:t>万吨（最终以现场实际交接时，双方共同认定的储量或共同委托第三方机构核定的储量为准），</w:t>
      </w:r>
      <w:r>
        <w:rPr>
          <w:rFonts w:hint="eastAsia" w:ascii="Times New Roman" w:hAnsi="Times New Roman"/>
          <w:sz w:val="24"/>
        </w:rPr>
        <w:t>原矿区已出让剩余资源的价值按交付时剩余资源储量乘以本次挂牌出让的成交单价计算，已出让剩余资源价款于采矿权成交确认书签订后</w:t>
      </w:r>
      <w:r>
        <w:rPr>
          <w:rFonts w:ascii="Times New Roman" w:hAnsi="Times New Roman"/>
          <w:sz w:val="24"/>
        </w:rPr>
        <w:t>30</w:t>
      </w:r>
      <w:r>
        <w:rPr>
          <w:rFonts w:hint="eastAsia" w:ascii="Times New Roman" w:hAnsi="Times New Roman"/>
          <w:sz w:val="24"/>
        </w:rPr>
        <w:t>个工作日内，由竞得人另行支付给原采矿权人。</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重庆市涪陵区规划和自然资源</w:t>
      </w:r>
      <w:bookmarkStart w:id="0" w:name="_GoBack"/>
      <w:bookmarkEnd w:id="0"/>
      <w:r>
        <w:rPr>
          <w:rFonts w:ascii="Times New Roman" w:hAnsi="Times New Roman"/>
          <w:sz w:val="24"/>
        </w:rPr>
        <w:t>局</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涪陵区罗云乡鱼亭子村檬子树脚建筑石料用灰岩矿采矿权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FLGC202301</w:t>
      </w:r>
    </w:p>
    <w:p>
      <w:pPr>
        <w:spacing w:line="360" w:lineRule="exact"/>
        <w:ind w:firstLine="420" w:firstLineChars="200"/>
        <w:rPr>
          <w:rFonts w:ascii="Times New Roman" w:hAnsi="Times New Roman"/>
          <w:szCs w:val="21"/>
        </w:rPr>
      </w:pPr>
      <w:r>
        <w:rPr>
          <w:rFonts w:hint="eastAsia" w:ascii="Times New Roman" w:hAnsi="Times New Roman"/>
          <w:szCs w:val="21"/>
        </w:rPr>
        <w:t>涪陵区罗云乡鱼亭子村檬子树脚建筑石料用灰岩矿</w:t>
      </w:r>
      <w:r>
        <w:rPr>
          <w:rFonts w:ascii="Times New Roman" w:hAnsi="Times New Roman"/>
          <w:szCs w:val="21"/>
        </w:rPr>
        <w:t>采矿权位于</w:t>
      </w:r>
      <w:r>
        <w:rPr>
          <w:rFonts w:hint="eastAsia" w:ascii="Times New Roman" w:hAnsi="Times New Roman"/>
          <w:szCs w:val="21"/>
        </w:rPr>
        <w:t>涪陵区罗云镇鱼亭子村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重庆涪陵公共资源交易有限公司</w:t>
      </w:r>
      <w:r>
        <w:rPr>
          <w:rFonts w:asciiTheme="minorEastAsia" w:hAnsiTheme="minorEastAsia"/>
          <w:szCs w:val="21"/>
        </w:rPr>
        <w:t>（</w:t>
      </w:r>
      <w:r>
        <w:rPr>
          <w:rFonts w:hint="eastAsia" w:asciiTheme="minorEastAsia" w:hAnsiTheme="minorEastAsia"/>
          <w:szCs w:val="21"/>
        </w:rPr>
        <w:t>https://www.cqggzy.com/fulingweb/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color w:val="FF0000"/>
          <w:szCs w:val="21"/>
        </w:rPr>
        <w:t>2023</w:t>
      </w:r>
      <w:r>
        <w:rPr>
          <w:rFonts w:hint="eastAsia" w:asciiTheme="minorEastAsia" w:hAnsiTheme="minorEastAsia"/>
          <w:color w:val="FF0000"/>
          <w:szCs w:val="21"/>
        </w:rPr>
        <w:t>年</w:t>
      </w:r>
      <w:r>
        <w:rPr>
          <w:rFonts w:hint="eastAsia" w:asciiTheme="minorEastAsia" w:hAnsiTheme="minorEastAsia"/>
          <w:color w:val="FF0000"/>
          <w:sz w:val="24"/>
        </w:rPr>
        <w:t>3月29日</w:t>
      </w:r>
      <w:r>
        <w:rPr>
          <w:rFonts w:asciiTheme="minorEastAsia" w:hAnsiTheme="minorEastAsia"/>
          <w:color w:val="FF0000"/>
          <w:sz w:val="24"/>
        </w:rPr>
        <w:t>12时-2023年</w:t>
      </w:r>
      <w:r>
        <w:rPr>
          <w:rFonts w:hint="eastAsia" w:asciiTheme="minorEastAsia" w:hAnsiTheme="minorEastAsia"/>
          <w:color w:val="FF0000"/>
          <w:sz w:val="24"/>
        </w:rPr>
        <w:t>4月26日</w:t>
      </w:r>
      <w:r>
        <w:rPr>
          <w:rFonts w:hint="eastAsia" w:asciiTheme="minorEastAsia" w:hAnsiTheme="minorEastAsia"/>
          <w:szCs w:val="21"/>
        </w:rPr>
        <w:t>12时</w:t>
      </w:r>
      <w:r>
        <w:rPr>
          <w:rFonts w:asciiTheme="minorEastAsia" w:hAnsiTheme="minorEastAsia"/>
          <w:szCs w:val="21"/>
        </w:rPr>
        <w:t>；</w:t>
      </w:r>
    </w:p>
    <w:p>
      <w:pPr>
        <w:spacing w:line="360" w:lineRule="exact"/>
        <w:ind w:firstLine="420" w:firstLineChars="200"/>
        <w:rPr>
          <w:rFonts w:ascii="Times New Roman" w:hAnsi="Times New Roman"/>
          <w:b w:val="0"/>
          <w:bCs w:val="0"/>
          <w:szCs w:val="21"/>
        </w:rPr>
      </w:pPr>
      <w:r>
        <w:rPr>
          <w:rFonts w:ascii="Times New Roman" w:hAnsi="Times New Roman"/>
          <w:szCs w:val="21"/>
        </w:rPr>
        <w:t>（二）采矿权名称（暂定名）：</w:t>
      </w:r>
      <w:r>
        <w:rPr>
          <w:rFonts w:hint="eastAsia" w:ascii="Times New Roman" w:hAnsi="Times New Roman"/>
          <w:szCs w:val="21"/>
        </w:rPr>
        <w:t>涪陵区罗云乡鱼亭子村檬子树脚建筑石料用灰岩矿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涪陵区罗云镇鱼亭子村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ascii="Times New Roman" w:hAnsi="Times New Roman" w:eastAsiaTheme="minorEastAsia" w:cstheme="minorBidi"/>
          <w:snapToGrid/>
          <w:sz w:val="21"/>
          <w:szCs w:val="21"/>
          <w:lang w:val="en-US"/>
        </w:rPr>
        <w:t>25806.33</w:t>
      </w:r>
      <w:r>
        <w:rPr>
          <w:rFonts w:ascii="Times New Roman" w:hAnsi="Times New Roman"/>
          <w:szCs w:val="21"/>
        </w:rPr>
        <w:t>万元；</w:t>
      </w:r>
    </w:p>
    <w:p>
      <w:pPr>
        <w:spacing w:line="360" w:lineRule="exact"/>
        <w:ind w:firstLine="420" w:firstLineChars="200"/>
        <w:rPr>
          <w:rFonts w:ascii="Times New Roman" w:hAnsi="Times New Roman"/>
          <w:b w:val="0"/>
          <w:bCs w:val="0"/>
          <w:szCs w:val="21"/>
        </w:rPr>
      </w:pPr>
      <w:r>
        <w:rPr>
          <w:rFonts w:ascii="Times New Roman" w:hAnsi="Times New Roman"/>
          <w:szCs w:val="21"/>
        </w:rPr>
        <w:t>（五）矿区面积：</w:t>
      </w:r>
      <w:r>
        <w:rPr>
          <w:rFonts w:ascii="Times New Roman" w:hAnsi="Times New Roman" w:eastAsiaTheme="minorEastAsia" w:cstheme="minorBidi"/>
          <w:sz w:val="21"/>
          <w:szCs w:val="21"/>
        </w:rPr>
        <w:t>0.6228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ascii="Times New Roman" w:hAnsi="Times New Roman" w:eastAsiaTheme="minorEastAsia" w:cstheme="minorBidi"/>
          <w:sz w:val="21"/>
          <w:szCs w:val="21"/>
        </w:rPr>
        <w:t>+900</w:t>
      </w:r>
      <w:r>
        <w:rPr>
          <w:rFonts w:hint="eastAsia" w:ascii="Times New Roman" w:hAnsi="Times New Roman" w:eastAsiaTheme="minorEastAsia" w:cstheme="minorBidi"/>
          <w:sz w:val="21"/>
          <w:szCs w:val="21"/>
        </w:rPr>
        <w:t>米至</w:t>
      </w:r>
      <w:r>
        <w:rPr>
          <w:rFonts w:ascii="Times New Roman" w:hAnsi="Times New Roman" w:eastAsiaTheme="minorEastAsia" w:cstheme="minorBidi"/>
          <w:sz w:val="21"/>
          <w:szCs w:val="21"/>
        </w:rPr>
        <w:t>+631</w:t>
      </w:r>
      <w:r>
        <w:rPr>
          <w:rFonts w:hint="eastAsia" w:ascii="Times New Roman" w:hAnsi="Times New Roman" w:eastAsiaTheme="minorEastAsia" w:cstheme="minorBidi"/>
          <w:sz w:val="21"/>
          <w:szCs w:val="21"/>
        </w:rPr>
        <w:t>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ascii="Times New Roman" w:hAnsi="Times New Roman" w:eastAsiaTheme="minorEastAsia" w:cstheme="minorBidi"/>
          <w:snapToGrid/>
          <w:sz w:val="21"/>
          <w:szCs w:val="21"/>
          <w:lang w:val="en-US"/>
        </w:rPr>
        <w:t>7820.1</w:t>
      </w:r>
      <w:r>
        <w:rPr>
          <w:rFonts w:hint="eastAsia" w:ascii="Times New Roman" w:hAnsi="Times New Roman"/>
          <w:szCs w:val="21"/>
        </w:rPr>
        <w:t>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w:t>
            </w:r>
          </w:p>
        </w:tc>
        <w:tc>
          <w:tcPr>
            <w:tcW w:w="2778" w:type="dxa"/>
          </w:tcPr>
          <w:p>
            <w:pPr>
              <w:spacing w:line="360" w:lineRule="exact"/>
              <w:jc w:val="center"/>
              <w:rPr>
                <w:rFonts w:ascii="Times New Roman" w:hAnsi="Times New Roman"/>
                <w:szCs w:val="21"/>
              </w:rPr>
            </w:pPr>
            <w:r>
              <w:t xml:space="preserve">3296611.93 </w:t>
            </w:r>
          </w:p>
        </w:tc>
        <w:tc>
          <w:tcPr>
            <w:tcW w:w="2655" w:type="dxa"/>
          </w:tcPr>
          <w:p>
            <w:pPr>
              <w:spacing w:line="360" w:lineRule="exact"/>
              <w:jc w:val="center"/>
              <w:rPr>
                <w:rFonts w:ascii="Times New Roman" w:hAnsi="Times New Roman"/>
                <w:szCs w:val="21"/>
              </w:rPr>
            </w:pPr>
            <w:r>
              <w:t xml:space="preserve">36463897.98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2</w:t>
            </w:r>
          </w:p>
        </w:tc>
        <w:tc>
          <w:tcPr>
            <w:tcW w:w="2778" w:type="dxa"/>
          </w:tcPr>
          <w:p>
            <w:pPr>
              <w:spacing w:line="360" w:lineRule="exact"/>
              <w:jc w:val="center"/>
              <w:rPr>
                <w:rFonts w:ascii="Times New Roman" w:hAnsi="Times New Roman"/>
                <w:szCs w:val="21"/>
              </w:rPr>
            </w:pPr>
            <w:r>
              <w:t xml:space="preserve">3296157.23 </w:t>
            </w:r>
          </w:p>
        </w:tc>
        <w:tc>
          <w:tcPr>
            <w:tcW w:w="2655" w:type="dxa"/>
          </w:tcPr>
          <w:p>
            <w:pPr>
              <w:spacing w:line="360" w:lineRule="exact"/>
              <w:jc w:val="center"/>
              <w:rPr>
                <w:rFonts w:ascii="Times New Roman" w:hAnsi="Times New Roman"/>
                <w:szCs w:val="21"/>
              </w:rPr>
            </w:pPr>
            <w:r>
              <w:t xml:space="preserve">36464020.06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3</w:t>
            </w:r>
          </w:p>
        </w:tc>
        <w:tc>
          <w:tcPr>
            <w:tcW w:w="2778" w:type="dxa"/>
          </w:tcPr>
          <w:p>
            <w:pPr>
              <w:spacing w:line="360" w:lineRule="exact"/>
              <w:jc w:val="center"/>
              <w:rPr>
                <w:rFonts w:ascii="Times New Roman" w:hAnsi="Times New Roman"/>
                <w:szCs w:val="21"/>
              </w:rPr>
            </w:pPr>
            <w:r>
              <w:t xml:space="preserve">3296029.30 </w:t>
            </w:r>
          </w:p>
        </w:tc>
        <w:tc>
          <w:tcPr>
            <w:tcW w:w="2655" w:type="dxa"/>
          </w:tcPr>
          <w:p>
            <w:pPr>
              <w:spacing w:line="360" w:lineRule="exact"/>
              <w:jc w:val="center"/>
              <w:rPr>
                <w:rFonts w:ascii="Times New Roman" w:hAnsi="Times New Roman"/>
                <w:szCs w:val="21"/>
              </w:rPr>
            </w:pPr>
            <w:r>
              <w:t xml:space="preserve">36464075.96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4</w:t>
            </w:r>
          </w:p>
        </w:tc>
        <w:tc>
          <w:tcPr>
            <w:tcW w:w="2778" w:type="dxa"/>
          </w:tcPr>
          <w:p>
            <w:pPr>
              <w:spacing w:line="360" w:lineRule="exact"/>
              <w:jc w:val="center"/>
              <w:rPr>
                <w:rFonts w:ascii="Times New Roman" w:hAnsi="Times New Roman"/>
                <w:szCs w:val="21"/>
              </w:rPr>
            </w:pPr>
            <w:r>
              <w:t xml:space="preserve">3296005.94 </w:t>
            </w:r>
          </w:p>
        </w:tc>
        <w:tc>
          <w:tcPr>
            <w:tcW w:w="2655" w:type="dxa"/>
          </w:tcPr>
          <w:p>
            <w:pPr>
              <w:spacing w:line="360" w:lineRule="exact"/>
              <w:jc w:val="center"/>
              <w:rPr>
                <w:rFonts w:ascii="Times New Roman" w:hAnsi="Times New Roman"/>
                <w:szCs w:val="21"/>
              </w:rPr>
            </w:pPr>
            <w:r>
              <w:t xml:space="preserve">36464159.93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5</w:t>
            </w:r>
          </w:p>
        </w:tc>
        <w:tc>
          <w:tcPr>
            <w:tcW w:w="2778" w:type="dxa"/>
          </w:tcPr>
          <w:p>
            <w:pPr>
              <w:spacing w:line="360" w:lineRule="exact"/>
              <w:jc w:val="center"/>
              <w:rPr>
                <w:rFonts w:ascii="Times New Roman" w:hAnsi="Times New Roman"/>
                <w:szCs w:val="21"/>
              </w:rPr>
            </w:pPr>
            <w:r>
              <w:t xml:space="preserve">3296002.10 </w:t>
            </w:r>
          </w:p>
        </w:tc>
        <w:tc>
          <w:tcPr>
            <w:tcW w:w="2655" w:type="dxa"/>
          </w:tcPr>
          <w:p>
            <w:pPr>
              <w:spacing w:line="360" w:lineRule="exact"/>
              <w:jc w:val="center"/>
              <w:rPr>
                <w:rFonts w:ascii="Times New Roman" w:hAnsi="Times New Roman"/>
                <w:szCs w:val="21"/>
              </w:rPr>
            </w:pPr>
            <w:r>
              <w:t xml:space="preserve">36464236.23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6</w:t>
            </w:r>
          </w:p>
        </w:tc>
        <w:tc>
          <w:tcPr>
            <w:tcW w:w="2778" w:type="dxa"/>
          </w:tcPr>
          <w:p>
            <w:pPr>
              <w:spacing w:line="360" w:lineRule="exact"/>
              <w:jc w:val="center"/>
              <w:rPr>
                <w:rFonts w:ascii="Times New Roman" w:hAnsi="Times New Roman"/>
                <w:szCs w:val="21"/>
              </w:rPr>
            </w:pPr>
            <w:r>
              <w:t xml:space="preserve">3295973.34 </w:t>
            </w:r>
          </w:p>
        </w:tc>
        <w:tc>
          <w:tcPr>
            <w:tcW w:w="2655" w:type="dxa"/>
          </w:tcPr>
          <w:p>
            <w:pPr>
              <w:spacing w:line="360" w:lineRule="exact"/>
              <w:jc w:val="center"/>
              <w:rPr>
                <w:rFonts w:ascii="Times New Roman" w:hAnsi="Times New Roman"/>
                <w:szCs w:val="21"/>
              </w:rPr>
            </w:pPr>
            <w:r>
              <w:t xml:space="preserve">36464406.29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7</w:t>
            </w:r>
          </w:p>
        </w:tc>
        <w:tc>
          <w:tcPr>
            <w:tcW w:w="2778" w:type="dxa"/>
          </w:tcPr>
          <w:p>
            <w:pPr>
              <w:spacing w:line="360" w:lineRule="exact"/>
              <w:jc w:val="center"/>
              <w:rPr>
                <w:rFonts w:ascii="Times New Roman" w:hAnsi="Times New Roman"/>
                <w:szCs w:val="21"/>
              </w:rPr>
            </w:pPr>
            <w:r>
              <w:t xml:space="preserve">3295922.45 </w:t>
            </w:r>
          </w:p>
        </w:tc>
        <w:tc>
          <w:tcPr>
            <w:tcW w:w="2655" w:type="dxa"/>
          </w:tcPr>
          <w:p>
            <w:pPr>
              <w:spacing w:line="360" w:lineRule="exact"/>
              <w:jc w:val="center"/>
              <w:rPr>
                <w:rFonts w:ascii="Times New Roman" w:hAnsi="Times New Roman"/>
                <w:szCs w:val="21"/>
              </w:rPr>
            </w:pPr>
            <w:r>
              <w:t xml:space="preserve">36464492.97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8</w:t>
            </w:r>
          </w:p>
        </w:tc>
        <w:tc>
          <w:tcPr>
            <w:tcW w:w="2778" w:type="dxa"/>
          </w:tcPr>
          <w:p>
            <w:pPr>
              <w:spacing w:line="360" w:lineRule="exact"/>
              <w:jc w:val="center"/>
              <w:rPr>
                <w:rFonts w:ascii="Times New Roman" w:hAnsi="Times New Roman"/>
                <w:szCs w:val="21"/>
              </w:rPr>
            </w:pPr>
            <w:r>
              <w:t xml:space="preserve">3296058.19 </w:t>
            </w:r>
          </w:p>
        </w:tc>
        <w:tc>
          <w:tcPr>
            <w:tcW w:w="2655" w:type="dxa"/>
          </w:tcPr>
          <w:p>
            <w:pPr>
              <w:spacing w:line="360" w:lineRule="exact"/>
              <w:jc w:val="center"/>
              <w:rPr>
                <w:rFonts w:ascii="Times New Roman" w:hAnsi="Times New Roman"/>
                <w:szCs w:val="21"/>
              </w:rPr>
            </w:pPr>
            <w:r>
              <w:t xml:space="preserve">36464541.48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9</w:t>
            </w:r>
          </w:p>
        </w:tc>
        <w:tc>
          <w:tcPr>
            <w:tcW w:w="2778" w:type="dxa"/>
          </w:tcPr>
          <w:p>
            <w:pPr>
              <w:spacing w:line="360" w:lineRule="exact"/>
              <w:jc w:val="center"/>
              <w:rPr>
                <w:rFonts w:ascii="Times New Roman" w:hAnsi="Times New Roman"/>
                <w:szCs w:val="21"/>
              </w:rPr>
            </w:pPr>
            <w:r>
              <w:t xml:space="preserve">3296181.27 </w:t>
            </w:r>
          </w:p>
        </w:tc>
        <w:tc>
          <w:tcPr>
            <w:tcW w:w="2655" w:type="dxa"/>
          </w:tcPr>
          <w:p>
            <w:pPr>
              <w:spacing w:line="360" w:lineRule="exact"/>
              <w:jc w:val="center"/>
              <w:rPr>
                <w:rFonts w:ascii="Times New Roman" w:hAnsi="Times New Roman"/>
                <w:szCs w:val="21"/>
              </w:rPr>
            </w:pPr>
            <w:r>
              <w:t xml:space="preserve">36464567.48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10</w:t>
            </w:r>
          </w:p>
        </w:tc>
        <w:tc>
          <w:tcPr>
            <w:tcW w:w="2778" w:type="dxa"/>
          </w:tcPr>
          <w:p>
            <w:pPr>
              <w:spacing w:line="360" w:lineRule="exact"/>
              <w:jc w:val="center"/>
              <w:rPr>
                <w:rFonts w:ascii="Times New Roman" w:hAnsi="Times New Roman"/>
                <w:szCs w:val="21"/>
              </w:rPr>
            </w:pPr>
            <w:r>
              <w:t xml:space="preserve">3296550.04 </w:t>
            </w:r>
          </w:p>
        </w:tc>
        <w:tc>
          <w:tcPr>
            <w:tcW w:w="2655" w:type="dxa"/>
          </w:tcPr>
          <w:p>
            <w:pPr>
              <w:spacing w:line="360" w:lineRule="exact"/>
              <w:jc w:val="center"/>
              <w:rPr>
                <w:rFonts w:ascii="Times New Roman" w:hAnsi="Times New Roman"/>
                <w:szCs w:val="21"/>
              </w:rPr>
            </w:pPr>
            <w:r>
              <w:t xml:space="preserve">36464588.96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11</w:t>
            </w:r>
          </w:p>
        </w:tc>
        <w:tc>
          <w:tcPr>
            <w:tcW w:w="2778" w:type="dxa"/>
          </w:tcPr>
          <w:p>
            <w:pPr>
              <w:spacing w:line="360" w:lineRule="exact"/>
              <w:jc w:val="center"/>
              <w:rPr>
                <w:rFonts w:ascii="Times New Roman" w:hAnsi="Times New Roman"/>
                <w:szCs w:val="21"/>
              </w:rPr>
            </w:pPr>
            <w:r>
              <w:t xml:space="preserve">3296768.26 </w:t>
            </w:r>
          </w:p>
        </w:tc>
        <w:tc>
          <w:tcPr>
            <w:tcW w:w="2655" w:type="dxa"/>
          </w:tcPr>
          <w:p>
            <w:pPr>
              <w:spacing w:line="360" w:lineRule="exact"/>
              <w:jc w:val="center"/>
              <w:rPr>
                <w:rFonts w:ascii="Times New Roman" w:hAnsi="Times New Roman"/>
                <w:szCs w:val="21"/>
              </w:rPr>
            </w:pPr>
            <w:r>
              <w:t xml:space="preserve">36464581.58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12</w:t>
            </w:r>
          </w:p>
        </w:tc>
        <w:tc>
          <w:tcPr>
            <w:tcW w:w="2778" w:type="dxa"/>
          </w:tcPr>
          <w:p>
            <w:pPr>
              <w:spacing w:line="360" w:lineRule="exact"/>
              <w:jc w:val="center"/>
              <w:rPr>
                <w:rFonts w:ascii="Times New Roman" w:hAnsi="Times New Roman"/>
                <w:szCs w:val="21"/>
              </w:rPr>
            </w:pPr>
            <w:r>
              <w:t xml:space="preserve">3297062.04 </w:t>
            </w:r>
          </w:p>
        </w:tc>
        <w:tc>
          <w:tcPr>
            <w:tcW w:w="2655" w:type="dxa"/>
          </w:tcPr>
          <w:p>
            <w:pPr>
              <w:spacing w:line="360" w:lineRule="exact"/>
              <w:jc w:val="center"/>
              <w:rPr>
                <w:rFonts w:ascii="Times New Roman" w:hAnsi="Times New Roman"/>
                <w:szCs w:val="21"/>
              </w:rPr>
            </w:pPr>
            <w:r>
              <w:t xml:space="preserve">36464502.96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13</w:t>
            </w:r>
          </w:p>
        </w:tc>
        <w:tc>
          <w:tcPr>
            <w:tcW w:w="2778" w:type="dxa"/>
          </w:tcPr>
          <w:p>
            <w:pPr>
              <w:spacing w:line="360" w:lineRule="exact"/>
              <w:jc w:val="center"/>
              <w:rPr>
                <w:rFonts w:ascii="Times New Roman" w:hAnsi="Times New Roman"/>
                <w:szCs w:val="21"/>
              </w:rPr>
            </w:pPr>
            <w:r>
              <w:t xml:space="preserve">3297060.34 </w:t>
            </w:r>
          </w:p>
        </w:tc>
        <w:tc>
          <w:tcPr>
            <w:tcW w:w="2655" w:type="dxa"/>
          </w:tcPr>
          <w:p>
            <w:pPr>
              <w:spacing w:line="360" w:lineRule="exact"/>
              <w:jc w:val="center"/>
              <w:rPr>
                <w:rFonts w:ascii="Times New Roman" w:hAnsi="Times New Roman"/>
                <w:szCs w:val="21"/>
              </w:rPr>
            </w:pPr>
            <w:r>
              <w:t xml:space="preserve">36464101.92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jc w:val="center"/>
              <w:rPr>
                <w:rFonts w:ascii="Times New Roman" w:hAnsi="Times New Roman"/>
                <w:szCs w:val="21"/>
              </w:rPr>
            </w:pPr>
            <w:r>
              <w:t>14</w:t>
            </w:r>
          </w:p>
        </w:tc>
        <w:tc>
          <w:tcPr>
            <w:tcW w:w="2778" w:type="dxa"/>
          </w:tcPr>
          <w:p>
            <w:pPr>
              <w:spacing w:line="360" w:lineRule="exact"/>
              <w:jc w:val="center"/>
              <w:rPr>
                <w:rFonts w:ascii="Times New Roman" w:hAnsi="Times New Roman"/>
                <w:szCs w:val="21"/>
              </w:rPr>
            </w:pPr>
            <w:r>
              <w:t xml:space="preserve">3296788.79 </w:t>
            </w:r>
          </w:p>
        </w:tc>
        <w:tc>
          <w:tcPr>
            <w:tcW w:w="2655" w:type="dxa"/>
          </w:tcPr>
          <w:p>
            <w:pPr>
              <w:spacing w:line="360" w:lineRule="exact"/>
              <w:jc w:val="center"/>
              <w:rPr>
                <w:rFonts w:ascii="Times New Roman" w:hAnsi="Times New Roman"/>
                <w:szCs w:val="21"/>
              </w:rPr>
            </w:pPr>
            <w:r>
              <w:t xml:space="preserve">36463943.90 </w:t>
            </w:r>
          </w:p>
        </w:tc>
      </w:tr>
    </w:tbl>
    <w:p>
      <w:pPr>
        <w:spacing w:line="360" w:lineRule="exact"/>
        <w:ind w:firstLine="464" w:firstLineChars="220"/>
        <w:rPr>
          <w:rFonts w:ascii="Times New Roman" w:hAnsi="Times New Roman"/>
          <w:szCs w:val="21"/>
        </w:rPr>
      </w:pPr>
      <w:r>
        <w:rPr>
          <w:rFonts w:ascii="Times New Roman" w:hAnsi="Times New Roman"/>
          <w:b/>
          <w:bCs/>
          <w:szCs w:val="21"/>
        </w:rPr>
        <w:t>二、出让人、有关机构联系方式</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重庆市涪陵区规划和自然资源局</w:t>
      </w:r>
      <w:r>
        <w:rPr>
          <w:rFonts w:asciiTheme="minorEastAsia" w:hAnsiTheme="minorEastAsia"/>
          <w:szCs w:val="21"/>
        </w:rPr>
        <w:t>，采矿权出让承办机构为</w:t>
      </w:r>
      <w:r>
        <w:rPr>
          <w:rFonts w:hint="eastAsia" w:asciiTheme="minorEastAsia" w:hAnsiTheme="minorEastAsia"/>
          <w:szCs w:val="21"/>
        </w:rPr>
        <w:t>重庆涪陵公共资源交易有限公司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重庆市涪陵区规划和自然资源局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重庆市涪陵区体育南路7号</w:t>
      </w:r>
      <w:r>
        <w:rPr>
          <w:rFonts w:asciiTheme="minorEastAsia" w:hAnsiTheme="minorEastAsia"/>
          <w:szCs w:val="21"/>
        </w:rPr>
        <w:t>，联系人：</w:t>
      </w:r>
      <w:r>
        <w:rPr>
          <w:rFonts w:hint="eastAsia" w:cs="宋体" w:asciiTheme="minorEastAsia" w:hAnsiTheme="minorEastAsia"/>
          <w:szCs w:val="21"/>
        </w:rPr>
        <w:t>游老师</w:t>
      </w:r>
      <w:r>
        <w:rPr>
          <w:rFonts w:asciiTheme="minorEastAsia" w:hAnsiTheme="minorEastAsia"/>
          <w:szCs w:val="21"/>
        </w:rPr>
        <w:t>，联系电话：</w:t>
      </w:r>
      <w:r>
        <w:rPr>
          <w:rFonts w:hint="eastAsia" w:asciiTheme="minorEastAsia" w:hAnsiTheme="minorEastAsia"/>
          <w:szCs w:val="21"/>
        </w:rPr>
        <w:t>023-72279378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重庆涪陵公共资源交易有限公司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重庆市涪陵新区太白大道34号汇智国际大厦1楼</w:t>
      </w:r>
      <w:r>
        <w:rPr>
          <w:rFonts w:asciiTheme="minorEastAsia" w:hAnsiTheme="minorEastAsia"/>
          <w:szCs w:val="21"/>
        </w:rPr>
        <w:t>，联系人：</w:t>
      </w:r>
      <w:r>
        <w:rPr>
          <w:rFonts w:hint="eastAsia" w:asciiTheme="minorEastAsia" w:hAnsiTheme="minorEastAsia"/>
          <w:szCs w:val="21"/>
        </w:rPr>
        <w:t>祝老师</w:t>
      </w:r>
      <w:r>
        <w:rPr>
          <w:rFonts w:asciiTheme="minorEastAsia" w:hAnsiTheme="minorEastAsia"/>
          <w:szCs w:val="21"/>
        </w:rPr>
        <w:t>，联系电话：</w:t>
      </w:r>
      <w:r>
        <w:rPr>
          <w:rFonts w:hint="eastAsia" w:asciiTheme="minorEastAsia" w:hAnsiTheme="minorEastAsia"/>
          <w:sz w:val="24"/>
        </w:rPr>
        <w:t>18623275921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ascii="Times New Roman" w:hAnsi="Times New Roman" w:cs="Times New Roman"/>
          <w:color w:val="FF0000"/>
          <w:szCs w:val="21"/>
        </w:rPr>
        <w:t>2023</w:t>
      </w:r>
      <w:r>
        <w:rPr>
          <w:rFonts w:hint="eastAsia" w:ascii="Times New Roman" w:hAnsi="Times New Roman" w:cs="Times New Roman"/>
          <w:color w:val="FF0000"/>
          <w:szCs w:val="21"/>
        </w:rPr>
        <w:t>年</w:t>
      </w:r>
      <w:r>
        <w:rPr>
          <w:rFonts w:hint="eastAsia" w:asciiTheme="minorEastAsia" w:hAnsiTheme="minorEastAsia"/>
          <w:color w:val="FF0000"/>
          <w:sz w:val="24"/>
        </w:rPr>
        <w:t>3月29日</w:t>
      </w:r>
      <w:r>
        <w:rPr>
          <w:rFonts w:asciiTheme="minorEastAsia" w:hAnsiTheme="minorEastAsia"/>
          <w:color w:val="FF0000"/>
          <w:sz w:val="24"/>
        </w:rPr>
        <w:t>12时-2023年</w:t>
      </w:r>
      <w:r>
        <w:rPr>
          <w:rFonts w:hint="eastAsia" w:asciiTheme="minorEastAsia" w:hAnsiTheme="minorEastAsia"/>
          <w:color w:val="FF0000"/>
          <w:sz w:val="24"/>
        </w:rPr>
        <w:t>4月26日</w:t>
      </w:r>
      <w:r>
        <w:rPr>
          <w:rFonts w:hint="eastAsia" w:ascii="Times New Roman" w:hAnsi="Times New Roman" w:cs="Times New Roman"/>
          <w:szCs w:val="21"/>
        </w:rPr>
        <w:t>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重庆涪陵公共资源交易有限公司</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祝老师</w:t>
      </w:r>
      <w:r>
        <w:rPr>
          <w:rFonts w:ascii="Times New Roman" w:hAnsi="Times New Roman" w:cs="Times New Roman"/>
          <w:szCs w:val="21"/>
        </w:rPr>
        <w:t>，联系电话：</w:t>
      </w:r>
      <w:r>
        <w:rPr>
          <w:rFonts w:hint="eastAsia" w:asciiTheme="minorEastAsia" w:hAnsiTheme="minorEastAsia"/>
          <w:sz w:val="24"/>
        </w:rPr>
        <w:t>18623275921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重庆涪陵公共资源交易有限公司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7、保证金（竞买保证金和固定资产转接保证金）缴款凭据（复印件2份，加盖公章）；</w:t>
      </w:r>
      <w:r>
        <w:rPr>
          <w:rFonts w:hint="eastAsia" w:ascii="Times New Roman" w:hAnsi="Times New Roman" w:cs="Times New Roman"/>
          <w:szCs w:val="21"/>
        </w:rPr>
        <w:br w:type="textWrapping"/>
      </w:r>
      <w:r>
        <w:rPr>
          <w:rFonts w:hint="eastAsia" w:ascii="Times New Roman" w:hAnsi="Times New Roman" w:cs="Times New Roman"/>
          <w:szCs w:val="21"/>
        </w:rPr>
        <w:t>8、区规划和自然资源局出具的固定资产权属所有人证明（原件1份）。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2600</w:t>
      </w:r>
      <w:r>
        <w:rPr>
          <w:rFonts w:ascii="Times New Roman" w:hAnsi="Times New Roman" w:cs="Times New Roman"/>
          <w:szCs w:val="21"/>
        </w:rPr>
        <w:t>万元（大写：</w:t>
      </w:r>
      <w:r>
        <w:rPr>
          <w:rFonts w:hint="eastAsia" w:ascii="宋体" w:hAnsi="宋体" w:eastAsia="宋体" w:cs="宋体"/>
          <w:szCs w:val="21"/>
        </w:rPr>
        <w:t>贰仟陆佰万元整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重庆涪陵公共资源交易有限公司</w:t>
      </w:r>
      <w:r>
        <w:rPr>
          <w:rFonts w:ascii="Times New Roman" w:hAnsi="Times New Roman" w:cs="Times New Roman"/>
          <w:szCs w:val="21"/>
        </w:rPr>
        <w:t>缴纳竞买保证金。竞买保证金到账截止时间为：</w:t>
      </w:r>
      <w:r>
        <w:rPr>
          <w:rFonts w:ascii="Times New Roman" w:hAnsi="Times New Roman" w:cs="Times New Roman"/>
          <w:color w:val="FF0000"/>
          <w:szCs w:val="21"/>
        </w:rPr>
        <w:t>2023</w:t>
      </w:r>
      <w:r>
        <w:rPr>
          <w:rFonts w:hint="eastAsia" w:ascii="Times New Roman" w:hAnsi="Times New Roman" w:cs="Times New Roman"/>
          <w:color w:val="FF0000"/>
          <w:szCs w:val="21"/>
        </w:rPr>
        <w:t>年</w:t>
      </w:r>
      <w:r>
        <w:rPr>
          <w:rFonts w:hint="eastAsia" w:asciiTheme="minorEastAsia" w:hAnsiTheme="minorEastAsia"/>
          <w:color w:val="FF0000"/>
          <w:sz w:val="24"/>
        </w:rPr>
        <w:t>4月26日</w:t>
      </w:r>
      <w:r>
        <w:rPr>
          <w:rFonts w:hint="eastAsia" w:ascii="Times New Roman" w:hAnsi="Times New Roman" w:cs="Times New Roman"/>
          <w:szCs w:val="21"/>
        </w:rPr>
        <w:t>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保证金户名：重庆涪陵公共资源交易有限公司</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开户行：中国建设银行重庆涪陵李渡新区支行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帐号：50050131004100001007。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保证金户名：重庆涪陵公共资源交易有限公司</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开户行：招商银行重庆涪陵分行营业部</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帐号：123913111110401。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应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本宗采矿权采用挂牌方式出让，挂牌时间</w:t>
      </w:r>
      <w:r>
        <w:rPr>
          <w:rFonts w:hint="eastAsia" w:asciiTheme="minorEastAsia" w:hAnsiTheme="minorEastAsia"/>
          <w:color w:val="FF0000"/>
          <w:sz w:val="24"/>
        </w:rPr>
        <w:t>2023年4月26日12时</w:t>
      </w:r>
      <w:r>
        <w:rPr>
          <w:rFonts w:asciiTheme="minorEastAsia" w:hAnsiTheme="minorEastAsia"/>
          <w:color w:val="FF0000"/>
          <w:sz w:val="24"/>
        </w:rPr>
        <w:t>-</w:t>
      </w:r>
      <w:r>
        <w:rPr>
          <w:rFonts w:hint="eastAsia" w:asciiTheme="minorEastAsia" w:hAnsiTheme="minorEastAsia"/>
          <w:color w:val="FF0000"/>
          <w:sz w:val="24"/>
        </w:rPr>
        <w:t>2023年5月12日</w:t>
      </w:r>
      <w:r>
        <w:rPr>
          <w:rFonts w:hint="eastAsia" w:ascii="Times New Roman" w:hAnsi="Times New Roman" w:cs="Times New Roman"/>
          <w:szCs w:val="21"/>
        </w:rPr>
        <w:t>，请竞买人做好相关准备。</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1.在挂牌期限内，符合条件的竞买人按交易部门通知要求填写报价单报价。竞买人报价有下列情形之一的，为无效报价：</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（1）报价单未在挂牌期限内收到的；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（2）不按规定填写报价单的；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（3）报价单填写人与竞买申请文件不符的；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（4）报价不符合报价规则的；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（5）报价低于公告起始价的；</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（6）报价不符合挂牌文件规定的其他情形。</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2.挂牌主持人确认该报价后，更新显示挂牌价格，继续接受新的报价。有两个或两个以上竞买人报价相同的，先提交报价单者为该挂牌价格的出价人。</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3.在公告规定的挂牌截止时间，竞买人应当出席挂牌现场。</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4.主持人询问竞买人是否愿意继续竞价。挂牌主持人连续三次报出最高挂牌价格，没有竞买人表示愿意继续竞价的，挂牌主持人宣布挂牌活动结束，并按下列规定确定挂牌结果：</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（1）最高挂牌价格不低于底价（若有）的，挂牌主持人宣布挂牌出让成交，最高挂牌价格的出价人为竞得人；</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（2）最高挂牌价格低于底价（若有）的，挂牌主持人宣布挂牌出让不成交。</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有竞买人表示愿意继续竞价的，挂牌主持人宣布挂牌出让转入现场竞价，并宣布现场竞价的时间和地点，通过现场竞价确定竞得人。</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现场竞价应当由挂牌主持人主持进行，取得该宗地挂牌竞买资格的竞买人均可参加现场竞价。现场竞价按下列程序举行：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挂牌主持人介绍采矿权情况，并当场宣布出让地块现场竞价的起始价、竞价规则、增价幅度等要求，并宣布现场竞价开始，挂牌主持人有权根据竞价情况调整加价幅度，竞买人以举牌的方式应价，应价幅度不得低于挂牌主持人当时宣布的加价幅度，否则应价无效。</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（2）参加现场竞价的竞买人按照竞价规则应价或报价。</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（3）挂牌主持人确认该竞买人应价或者报价后继续竞价。</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（4）挂牌主持人连续三次宣布同一应价或报价而没有人再应价或出价，且该价格不低于底价（若有）的，挂牌主持人落槌表示现场竞价成交，宣布最高应价或报价者为竞得人。</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在现场竞价中无人参加竞买或无人应价或出价的，以挂牌截止时出价最高者为竞得人，但低于挂牌出让底价（若有）者除外。</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如在挂牌程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挂牌交易结束后竞得人与</w:t>
      </w:r>
      <w:r>
        <w:rPr>
          <w:rFonts w:hint="eastAsia" w:ascii="Times New Roman" w:hAnsi="Times New Roman" w:cs="Times New Roman"/>
          <w:szCs w:val="21"/>
        </w:rPr>
        <w:t>重庆涪陵公共资源交易有限公司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cs="Times New Roman" w:eastAsiaTheme="minorEastAsia"/>
          <w:szCs w:val="21"/>
        </w:rPr>
      </w:pPr>
      <w:r>
        <w:rPr>
          <w:rFonts w:hint="eastAsia" w:ascii="Times New Roman" w:hAnsi="Times New Roman" w:cs="Times New Roman"/>
          <w:szCs w:val="21"/>
        </w:rPr>
        <w:t>本宗采矿权成交确认后，采矿权出让收益分六期在连续五年内缴清。每期缴纳时间间隔在12个月内。</w:t>
      </w:r>
      <w:r>
        <w:rPr>
          <w:rFonts w:hint="eastAsia" w:ascii="Times New Roman" w:hAnsi="Times New Roman" w:cs="Times New Roman" w:eastAsiaTheme="minorEastAsia"/>
          <w:snapToGrid/>
          <w:sz w:val="21"/>
          <w:szCs w:val="21"/>
          <w:lang w:val="en-US"/>
        </w:rPr>
        <w:t>首期缴纳金额比例为总出让收益的</w:t>
      </w:r>
      <w:r>
        <w:rPr>
          <w:rFonts w:ascii="Times New Roman" w:hAnsi="Times New Roman" w:cs="Times New Roman" w:eastAsiaTheme="minorEastAsia"/>
          <w:snapToGrid/>
          <w:sz w:val="21"/>
          <w:szCs w:val="21"/>
        </w:rPr>
        <w:t>20%</w:t>
      </w:r>
      <w:r>
        <w:rPr>
          <w:rFonts w:hint="eastAsia" w:ascii="Times New Roman" w:hAnsi="Times New Roman" w:cs="Times New Roman" w:eastAsiaTheme="minorEastAsia"/>
          <w:snapToGrid/>
          <w:sz w:val="21"/>
          <w:szCs w:val="21"/>
          <w:lang w:val="en-US"/>
        </w:rPr>
        <w:t>；第二期缴纳金额比例为总出让收益的</w:t>
      </w:r>
      <w:r>
        <w:rPr>
          <w:rFonts w:ascii="Times New Roman" w:hAnsi="Times New Roman" w:cs="Times New Roman" w:eastAsiaTheme="minorEastAsia"/>
          <w:snapToGrid/>
          <w:sz w:val="21"/>
          <w:szCs w:val="21"/>
        </w:rPr>
        <w:t>18%</w:t>
      </w:r>
      <w:r>
        <w:rPr>
          <w:rFonts w:hint="eastAsia" w:ascii="Times New Roman" w:hAnsi="Times New Roman" w:cs="Times New Roman" w:eastAsiaTheme="minorEastAsia"/>
          <w:snapToGrid/>
          <w:sz w:val="21"/>
          <w:szCs w:val="21"/>
          <w:lang w:val="en-US"/>
        </w:rPr>
        <w:t>；第三期缴纳金额比例为总出让收益的</w:t>
      </w:r>
      <w:r>
        <w:rPr>
          <w:rFonts w:ascii="Times New Roman" w:hAnsi="Times New Roman" w:cs="Times New Roman" w:eastAsiaTheme="minorEastAsia"/>
          <w:snapToGrid/>
          <w:sz w:val="21"/>
          <w:szCs w:val="21"/>
        </w:rPr>
        <w:t>17%</w:t>
      </w:r>
      <w:r>
        <w:rPr>
          <w:rFonts w:hint="eastAsia" w:ascii="Times New Roman" w:hAnsi="Times New Roman" w:cs="Times New Roman" w:eastAsiaTheme="minorEastAsia"/>
          <w:snapToGrid/>
          <w:sz w:val="21"/>
          <w:szCs w:val="21"/>
          <w:lang w:val="en-US"/>
        </w:rPr>
        <w:t>；第四期缴纳金额比例为总出让收益的</w:t>
      </w:r>
      <w:r>
        <w:rPr>
          <w:rFonts w:ascii="Times New Roman" w:hAnsi="Times New Roman" w:cs="Times New Roman" w:eastAsiaTheme="minorEastAsia"/>
          <w:snapToGrid/>
          <w:sz w:val="21"/>
          <w:szCs w:val="21"/>
          <w:lang w:val="en-US"/>
        </w:rPr>
        <w:t>16%</w:t>
      </w:r>
      <w:r>
        <w:rPr>
          <w:rFonts w:hint="eastAsia" w:ascii="Times New Roman" w:hAnsi="Times New Roman" w:cs="Times New Roman" w:eastAsiaTheme="minorEastAsia"/>
          <w:snapToGrid/>
          <w:sz w:val="21"/>
          <w:szCs w:val="21"/>
          <w:lang w:val="en-US"/>
        </w:rPr>
        <w:t>；第五期缴纳金额比例为总出让收益的</w:t>
      </w:r>
      <w:r>
        <w:rPr>
          <w:rFonts w:ascii="Times New Roman" w:hAnsi="Times New Roman" w:cs="Times New Roman" w:eastAsiaTheme="minorEastAsia"/>
          <w:snapToGrid/>
          <w:sz w:val="21"/>
          <w:szCs w:val="21"/>
        </w:rPr>
        <w:t>15%</w:t>
      </w:r>
      <w:r>
        <w:rPr>
          <w:rFonts w:hint="eastAsia" w:ascii="Times New Roman" w:hAnsi="Times New Roman" w:cs="Times New Roman" w:eastAsiaTheme="minorEastAsia"/>
          <w:snapToGrid/>
          <w:sz w:val="21"/>
          <w:szCs w:val="21"/>
          <w:lang w:val="en-US"/>
        </w:rPr>
        <w:t>；第六期缴纳金额比例为总出让收益的</w:t>
      </w:r>
      <w:r>
        <w:rPr>
          <w:rFonts w:ascii="Times New Roman" w:hAnsi="Times New Roman" w:cs="Times New Roman" w:eastAsiaTheme="minorEastAsia"/>
          <w:snapToGrid/>
          <w:sz w:val="21"/>
          <w:szCs w:val="21"/>
        </w:rPr>
        <w:t>14%</w:t>
      </w:r>
      <w:r>
        <w:rPr>
          <w:rFonts w:hint="eastAsia" w:ascii="Times New Roman" w:hAnsi="Times New Roman" w:cs="Times New Roman" w:eastAsiaTheme="minorEastAsia"/>
          <w:snapToGrid/>
          <w:sz w:val="21"/>
          <w:szCs w:val="21"/>
          <w:lang w:val="en-US"/>
        </w:rPr>
        <w:t>。</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w:t>
      </w:r>
      <w:r>
        <w:rPr>
          <w:rFonts w:ascii="Times New Roman" w:hAnsi="Times New Roman" w:cs="Times New Roman"/>
          <w:szCs w:val="21"/>
        </w:rPr>
        <w:t>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w:t>
      </w:r>
      <w:r>
        <w:rPr>
          <w:rFonts w:hint="eastAsia" w:ascii="Times New Roman" w:hAnsi="Times New Roman" w:cs="Times New Roman"/>
          <w:szCs w:val="21"/>
        </w:rPr>
        <w:t>出让方将自逾期之日起每日按竞买保证金总额的2‰扣收竞买保证金；超过6个月未提交签订合同申请或拒不签订《重庆市采矿权出让合同》的，</w:t>
      </w:r>
      <w:r>
        <w:rPr>
          <w:rFonts w:ascii="Times New Roman" w:hAnsi="Times New Roman" w:cs="Times New Roman"/>
          <w:szCs w:val="21"/>
        </w:rPr>
        <w:t>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jc w:val="left"/>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jc w:val="left"/>
        <w:rPr>
          <w:rFonts w:ascii="Times New Roman" w:hAnsi="Times New Roman" w:cs="Times New Roman"/>
          <w:szCs w:val="21"/>
        </w:rPr>
      </w:pPr>
      <w:r>
        <w:rPr>
          <w:rFonts w:hint="eastAsia" w:ascii="Times New Roman" w:hAnsi="Times New Roman" w:cs="Times New Roman"/>
          <w:szCs w:val="21"/>
        </w:rPr>
        <w:t>（一）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br w:type="textWrapping"/>
      </w:r>
      <w:r>
        <w:rPr>
          <w:rFonts w:hint="eastAsia" w:ascii="Times New Roman" w:hAnsi="Times New Roman" w:cs="Times New Roman"/>
          <w:szCs w:val="21"/>
        </w:rPr>
        <w:t>（二）截止2022年9月30日，原矿区范围内已出让剩余资源储量约1116.6万吨（最终以现场实际交接时，双方共同认定的储量或共同委托第三方机构核定的储量为准）。原矿区已出让剩余资源的价值按交付时剩余资源储量</w:t>
      </w:r>
      <w:r>
        <w:rPr>
          <w:rFonts w:hint="eastAsia" w:ascii="Times New Roman" w:hAnsi="Times New Roman" w:cs="Times New Roman" w:eastAsiaTheme="minorEastAsia"/>
          <w:spacing w:val="0"/>
          <w:kern w:val="0"/>
          <w:sz w:val="21"/>
          <w:szCs w:val="21"/>
        </w:rPr>
        <w:t>乘以本次挂牌出让的成交单价计算</w:t>
      </w:r>
      <w:r>
        <w:rPr>
          <w:rFonts w:hint="eastAsia" w:ascii="Times New Roman" w:hAnsi="Times New Roman" w:cs="Times New Roman"/>
          <w:szCs w:val="21"/>
        </w:rPr>
        <w:t>，已出让剩余资源价款于采矿权成交确认书签订后30个工作日内，由竞得人另行支付给原采矿权人。</w:t>
      </w:r>
      <w:r>
        <w:rPr>
          <w:rFonts w:hint="eastAsia" w:ascii="Times New Roman" w:hAnsi="Times New Roman" w:cs="Times New Roman"/>
          <w:szCs w:val="21"/>
        </w:rPr>
        <w:br w:type="textWrapping"/>
      </w:r>
      <w:r>
        <w:rPr>
          <w:rFonts w:hint="eastAsia" w:ascii="Times New Roman" w:hAnsi="Times New Roman" w:cs="Times New Roman"/>
          <w:szCs w:val="21"/>
        </w:rPr>
        <w:t>（三）原则上自采矿许可证发证之日起一年内投产，逾期投产的，除政府原因或者不可抗力外，出让人有权解除出让合同并重新公开出让。</w:t>
      </w:r>
      <w:r>
        <w:rPr>
          <w:rFonts w:hint="eastAsia" w:ascii="Times New Roman" w:hAnsi="Times New Roman" w:cs="Times New Roman"/>
          <w:szCs w:val="21"/>
        </w:rPr>
        <w:br w:type="textWrapping"/>
      </w:r>
      <w:r>
        <w:rPr>
          <w:rFonts w:hint="eastAsia" w:ascii="Times New Roman" w:hAnsi="Times New Roman" w:cs="Times New Roman"/>
          <w:szCs w:val="21"/>
        </w:rPr>
        <w:t>（四）竞得人须自行或委托编制矿山地质环境恢复治理和土地复垦方案并通过审查，同时按照《矿山地质环境保护规定》等相关规定履行矿山地质环境保护相关义务。</w:t>
      </w:r>
      <w:r>
        <w:rPr>
          <w:rFonts w:hint="eastAsia" w:ascii="Times New Roman" w:hAnsi="Times New Roman" w:cs="Times New Roman"/>
          <w:szCs w:val="21"/>
        </w:rPr>
        <w:br w:type="textWrapping"/>
      </w:r>
      <w:r>
        <w:rPr>
          <w:rFonts w:hint="eastAsia" w:ascii="Times New Roman" w:hAnsi="Times New Roman" w:cs="Times New Roman"/>
          <w:szCs w:val="21"/>
        </w:rPr>
        <w:t>（五）原采矿权人固定资产转接保证金交纳与规定：</w:t>
      </w:r>
      <w:r>
        <w:rPr>
          <w:rFonts w:hint="eastAsia" w:ascii="Times New Roman" w:hAnsi="Times New Roman" w:cs="Times New Roman"/>
          <w:szCs w:val="21"/>
        </w:rPr>
        <w:br w:type="textWrapping"/>
      </w:r>
      <w:r>
        <w:rPr>
          <w:rFonts w:hint="eastAsia" w:ascii="Times New Roman" w:hAnsi="Times New Roman" w:cs="Times New Roman"/>
          <w:szCs w:val="21"/>
        </w:rPr>
        <w:t xml:space="preserve"> 1、该宗采矿权为已建矿山增划资源公开出让，新竞得人需对原采矿权人的固定资产进行转接。竞买申请人除须交纳竞买保证金外，在公告期截止前还须全额交纳原采矿权人的固定资产市场评审价值共计22241.55万元至固定资产转接保证金账户，到账后由区规划和自然资源局出具资金往来结算票据，作为报名材料之一。未按时到帐的，不予受理竞买报名资格（原采矿权人参与本次竞买需持区规划自然资源局相关证明材料按竞买要求参与竞买）。</w:t>
      </w:r>
      <w:r>
        <w:rPr>
          <w:rFonts w:hint="eastAsia" w:ascii="Times New Roman" w:hAnsi="Times New Roman" w:cs="Times New Roman"/>
          <w:szCs w:val="21"/>
        </w:rPr>
        <w:br w:type="textWrapping"/>
      </w:r>
      <w:r>
        <w:rPr>
          <w:rFonts w:hint="eastAsia" w:ascii="Times New Roman" w:hAnsi="Times New Roman" w:cs="Times New Roman"/>
          <w:szCs w:val="21"/>
        </w:rPr>
        <w:t xml:space="preserve"> 2、竞买申请人应于公告期截止之前，向重庆市涪陵区规划和自然资源局指定的唯一账户交纳原采矿权人固定资产转接保证金人民币22241.55万元（大写：贰亿贰仟贰佰肆拾壹万伍仟伍佰元整）。竞买申请人交款时间以银行确认的到帐时间为准。竞买申请人交纳原采矿权人固定资产转接保证金到账截止时间为：</w:t>
      </w:r>
      <w:r>
        <w:rPr>
          <w:rFonts w:hint="eastAsia" w:asciiTheme="minorEastAsia" w:hAnsiTheme="minorEastAsia"/>
          <w:color w:val="FF0000"/>
          <w:sz w:val="24"/>
        </w:rPr>
        <w:t>2023年4月26日</w:t>
      </w:r>
      <w:r>
        <w:rPr>
          <w:rFonts w:hint="eastAsia" w:ascii="Times New Roman" w:hAnsi="Times New Roman" w:cs="Times New Roman"/>
          <w:szCs w:val="21"/>
        </w:rPr>
        <w:t>12:00。</w:t>
      </w:r>
      <w:r>
        <w:rPr>
          <w:rFonts w:hint="eastAsia" w:ascii="Times New Roman" w:hAnsi="Times New Roman" w:cs="Times New Roman"/>
          <w:szCs w:val="21"/>
        </w:rPr>
        <w:br w:type="textWrapping"/>
      </w:r>
      <w:r>
        <w:rPr>
          <w:rFonts w:hint="eastAsia" w:ascii="Times New Roman" w:hAnsi="Times New Roman" w:cs="Times New Roman"/>
          <w:szCs w:val="21"/>
        </w:rPr>
        <w:t>固定资产转接保证金户名：重庆市涪陵区规划和自然资源局</w:t>
      </w:r>
      <w:r>
        <w:rPr>
          <w:rFonts w:hint="eastAsia" w:ascii="Times New Roman" w:hAnsi="Times New Roman" w:cs="Times New Roman"/>
          <w:szCs w:val="21"/>
        </w:rPr>
        <w:br w:type="textWrapping"/>
      </w:r>
      <w:r>
        <w:rPr>
          <w:rFonts w:hint="eastAsia" w:ascii="Times New Roman" w:hAnsi="Times New Roman" w:cs="Times New Roman"/>
          <w:szCs w:val="21"/>
        </w:rPr>
        <w:t>固定资产转接保证金开户银行：中国银行重庆涪陵体育场支行</w:t>
      </w:r>
      <w:r>
        <w:rPr>
          <w:rFonts w:hint="eastAsia" w:ascii="Times New Roman" w:hAnsi="Times New Roman" w:cs="Times New Roman"/>
          <w:szCs w:val="21"/>
        </w:rPr>
        <w:br w:type="textWrapping"/>
      </w:r>
      <w:r>
        <w:rPr>
          <w:rFonts w:hint="eastAsia" w:ascii="Times New Roman" w:hAnsi="Times New Roman" w:cs="Times New Roman"/>
          <w:szCs w:val="21"/>
        </w:rPr>
        <w:t xml:space="preserve">固定资产转接保证金账号：110201386720  </w:t>
      </w:r>
      <w:r>
        <w:rPr>
          <w:rFonts w:hint="eastAsia" w:ascii="Times New Roman" w:hAnsi="Times New Roman" w:cs="Times New Roman"/>
          <w:szCs w:val="21"/>
        </w:rPr>
        <w:br w:type="textWrapping"/>
      </w:r>
      <w:r>
        <w:rPr>
          <w:rFonts w:hint="eastAsia" w:ascii="Times New Roman" w:hAnsi="Times New Roman" w:cs="Times New Roman"/>
          <w:szCs w:val="21"/>
        </w:rPr>
        <w:t>固定资产转接保证金账户只接受银行转账或电汇方式转入，不接受现金或现金汇款（温馨提示：为避免因固定资产转接保证金到账时间延误，影响您竞买资格，建议您在固定资产转接保证金到账截止时间的1天之前交纳固定资产转接保证金。）</w:t>
      </w:r>
      <w:r>
        <w:rPr>
          <w:rFonts w:hint="eastAsia" w:ascii="Times New Roman" w:hAnsi="Times New Roman" w:cs="Times New Roman"/>
          <w:szCs w:val="21"/>
        </w:rPr>
        <w:br w:type="textWrapping"/>
      </w:r>
      <w:r>
        <w:rPr>
          <w:rFonts w:hint="eastAsia" w:ascii="Times New Roman" w:hAnsi="Times New Roman" w:cs="Times New Roman"/>
          <w:szCs w:val="21"/>
        </w:rPr>
        <w:t>3、如成功竞得，在采矿权成交确认书签订后30个工作日内，由出让人协调新、旧采矿权人完成固定资产转接工作，将竞得人交纳的原采矿权人固定资产转接保证金支付给原采矿权人。如未竞得，未竞得人交纳的固定资产保证金在竞拍成交后3个工作日内办理退还手续，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重庆市涪陵区规划和自然资源局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重庆涪陵公共资源交易有限公司</w:t>
      </w:r>
      <w:r>
        <w:rPr>
          <w:rFonts w:ascii="Times New Roman" w:hAnsi="Times New Roman" w:cs="Times New Roman"/>
          <w:color w:val="222222"/>
          <w:szCs w:val="21"/>
        </w:rPr>
        <w:t>提出。</w:t>
      </w:r>
      <w:r>
        <w:rPr>
          <w:rFonts w:hint="eastAsia" w:ascii="Times New Roman" w:hAnsi="Times New Roman" w:cs="Times New Roman"/>
          <w:color w:val="222222"/>
          <w:sz w:val="21"/>
          <w:szCs w:val="21"/>
        </w:rPr>
        <w:t>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年月日</w:t>
            </w:r>
          </w:p>
        </w:tc>
      </w:tr>
    </w:tbl>
    <w:p>
      <w:pPr>
        <w:wordWrap w:val="0"/>
        <w:spacing w:line="360" w:lineRule="exact"/>
        <w:ind w:firstLine="420" w:firstLineChars="200"/>
        <w:jc w:val="right"/>
        <w:rPr>
          <w:rFonts w:ascii="Times New Roman" w:hAnsi="Times New Roman" w:cs="Times New Roman"/>
          <w:color w:val="FF0000"/>
          <w:szCs w:val="21"/>
        </w:rPr>
      </w:pPr>
      <w:r>
        <w:rPr>
          <w:rFonts w:ascii="Times New Roman" w:hAnsi="Times New Roman" w:cs="Times New Roman"/>
          <w:color w:val="FF0000"/>
          <w:szCs w:val="21"/>
        </w:rPr>
        <w:t>2023</w:t>
      </w:r>
      <w:r>
        <w:rPr>
          <w:rFonts w:hint="eastAsia" w:ascii="Times New Roman" w:hAnsi="Times New Roman" w:cs="Times New Roman"/>
          <w:color w:val="FF0000"/>
          <w:szCs w:val="21"/>
        </w:rPr>
        <w:t>年</w:t>
      </w:r>
      <w:r>
        <w:rPr>
          <w:rFonts w:hint="eastAsia" w:ascii="Times New Roman" w:hAnsi="Times New Roman" w:cs="Times New Roman"/>
          <w:color w:val="FF0000"/>
          <w:szCs w:val="21"/>
        </w:rPr>
        <w:t xml:space="preserve">  </w:t>
      </w:r>
      <w:r>
        <w:rPr>
          <w:rFonts w:hint="eastAsia" w:ascii="Times New Roman" w:hAnsi="Times New Roman" w:cs="Times New Roman"/>
          <w:color w:val="FF0000"/>
          <w:szCs w:val="21"/>
        </w:rPr>
        <w:t>月</w:t>
      </w:r>
      <w:r>
        <w:rPr>
          <w:rFonts w:hint="eastAsia" w:ascii="Times New Roman" w:hAnsi="Times New Roman" w:cs="Times New Roman"/>
          <w:color w:val="FF0000"/>
          <w:szCs w:val="21"/>
        </w:rPr>
        <w:t xml:space="preserve">  </w:t>
      </w:r>
      <w:r>
        <w:rPr>
          <w:rFonts w:hint="eastAsia" w:ascii="Times New Roman" w:hAnsi="Times New Roman" w:cs="Times New Roman"/>
          <w:color w:val="FF0000"/>
          <w:szCs w:val="21"/>
        </w:rPr>
        <w:t>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r>
        <w:rPr>
          <w:rFonts w:hint="eastAsia" w:ascii="Times New Roman" w:hAnsi="Times New Roman" w:cs="Times New Roman"/>
          <w:szCs w:val="21"/>
        </w:rPr>
        <w:t>电子</w:t>
      </w:r>
      <w:r>
        <w:rPr>
          <w:rFonts w:ascii="Times New Roman" w:hAnsi="Times New Roman" w:cs="Times New Roman"/>
          <w:szCs w:val="21"/>
        </w:rPr>
        <w:t>模板）</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 《授权委托书》（</w:t>
      </w:r>
      <w:r>
        <w:rPr>
          <w:rFonts w:hint="eastAsia" w:ascii="Times New Roman" w:hAnsi="Times New Roman" w:cs="Times New Roman"/>
          <w:szCs w:val="21"/>
        </w:rPr>
        <w:t>电子</w:t>
      </w:r>
      <w:r>
        <w:rPr>
          <w:rFonts w:ascii="Times New Roman" w:hAnsi="Times New Roman" w:cs="Times New Roman"/>
          <w:szCs w:val="21"/>
        </w:rPr>
        <w:t>模板）</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 xml:space="preserve">附件三： </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rPr>
        <w:t>电子</w:t>
      </w:r>
      <w:r>
        <w:rPr>
          <w:rFonts w:ascii="Times New Roman" w:hAnsi="Times New Roman" w:cs="Times New Roman"/>
          <w:szCs w:val="21"/>
        </w:rPr>
        <w:t>模板）</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 xml:space="preserve"> </w:t>
      </w:r>
      <w:r>
        <w:rPr>
          <w:rFonts w:hint="eastAsia" w:ascii="Times New Roman" w:hAnsi="Times New Roman" w:cs="Times New Roman"/>
          <w:color w:val="222222"/>
          <w:szCs w:val="21"/>
        </w:rPr>
        <w:t>《采矿权成交确认书》</w:t>
      </w:r>
      <w:r>
        <w:rPr>
          <w:rFonts w:ascii="Times New Roman" w:hAnsi="Times New Roman" w:cs="Times New Roman"/>
          <w:szCs w:val="21"/>
        </w:rPr>
        <w:t>（</w:t>
      </w:r>
      <w:r>
        <w:rPr>
          <w:rFonts w:hint="eastAsia" w:ascii="Times New Roman" w:hAnsi="Times New Roman" w:cs="Times New Roman"/>
          <w:szCs w:val="21"/>
        </w:rPr>
        <w:t>电子</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zE3ZjkzNDExNzg4ZGU3MzFlMTg2MDI4MDFkODE1MWYifQ=="/>
  </w:docVars>
  <w:rsids>
    <w:rsidRoot w:val="00880956"/>
    <w:rsid w:val="00004D0D"/>
    <w:rsid w:val="000111F7"/>
    <w:rsid w:val="000C5109"/>
    <w:rsid w:val="0011687D"/>
    <w:rsid w:val="0014692D"/>
    <w:rsid w:val="00161682"/>
    <w:rsid w:val="001D7314"/>
    <w:rsid w:val="001F0013"/>
    <w:rsid w:val="002A14B7"/>
    <w:rsid w:val="002C4FF5"/>
    <w:rsid w:val="002F7623"/>
    <w:rsid w:val="00406DF1"/>
    <w:rsid w:val="0046543E"/>
    <w:rsid w:val="0059397B"/>
    <w:rsid w:val="00655710"/>
    <w:rsid w:val="007400C2"/>
    <w:rsid w:val="00770FDE"/>
    <w:rsid w:val="007B1C1A"/>
    <w:rsid w:val="007E4753"/>
    <w:rsid w:val="00880956"/>
    <w:rsid w:val="00984B0D"/>
    <w:rsid w:val="00A26BAF"/>
    <w:rsid w:val="00A434BD"/>
    <w:rsid w:val="00A50025"/>
    <w:rsid w:val="00AF5D6A"/>
    <w:rsid w:val="00AF7B9B"/>
    <w:rsid w:val="00BA3638"/>
    <w:rsid w:val="00C7374E"/>
    <w:rsid w:val="00CB205D"/>
    <w:rsid w:val="00D46B26"/>
    <w:rsid w:val="00D61920"/>
    <w:rsid w:val="00D754C9"/>
    <w:rsid w:val="00D90293"/>
    <w:rsid w:val="00DA06F2"/>
    <w:rsid w:val="00E45A3A"/>
    <w:rsid w:val="00E60172"/>
    <w:rsid w:val="00E87CFF"/>
    <w:rsid w:val="00EB6B43"/>
    <w:rsid w:val="00F2590E"/>
    <w:rsid w:val="00F90868"/>
    <w:rsid w:val="061439B5"/>
    <w:rsid w:val="0CBE0FDF"/>
    <w:rsid w:val="0F9D2C6D"/>
    <w:rsid w:val="10305890"/>
    <w:rsid w:val="1081433D"/>
    <w:rsid w:val="127415E0"/>
    <w:rsid w:val="1890336F"/>
    <w:rsid w:val="19337933"/>
    <w:rsid w:val="1B9B3718"/>
    <w:rsid w:val="20B53585"/>
    <w:rsid w:val="22806203"/>
    <w:rsid w:val="27C60B5C"/>
    <w:rsid w:val="29C015DB"/>
    <w:rsid w:val="2A094D30"/>
    <w:rsid w:val="31286BA2"/>
    <w:rsid w:val="33067074"/>
    <w:rsid w:val="336D632F"/>
    <w:rsid w:val="342307D8"/>
    <w:rsid w:val="39275AE1"/>
    <w:rsid w:val="3A9572C9"/>
    <w:rsid w:val="41EC0D67"/>
    <w:rsid w:val="42B974E3"/>
    <w:rsid w:val="45186C6B"/>
    <w:rsid w:val="451B6779"/>
    <w:rsid w:val="4ED4505D"/>
    <w:rsid w:val="52EA4E4F"/>
    <w:rsid w:val="547366E1"/>
    <w:rsid w:val="56AD4B11"/>
    <w:rsid w:val="6349247A"/>
    <w:rsid w:val="66544FA9"/>
    <w:rsid w:val="70FF4C15"/>
    <w:rsid w:val="72A04407"/>
    <w:rsid w:val="73D74B24"/>
    <w:rsid w:val="750E6C6B"/>
    <w:rsid w:val="75E178CA"/>
    <w:rsid w:val="78306EF8"/>
    <w:rsid w:val="7C084414"/>
    <w:rsid w:val="7DA162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qFormat/>
    <w:uiPriority w:val="0"/>
    <w:rPr>
      <w:sz w:val="18"/>
      <w:szCs w:val="18"/>
    </w:rPr>
  </w:style>
  <w:style w:type="character" w:customStyle="1" w:styleId="9">
    <w:name w:val="批注框文本 Char"/>
    <w:basedOn w:val="6"/>
    <w:link w:val="2"/>
    <w:qFormat/>
    <w:uiPriority w:val="0"/>
    <w:rPr>
      <w:sz w:val="18"/>
      <w:szCs w:val="18"/>
      <w:lang w:eastAsia="zh-CN"/>
    </w:rPr>
  </w:style>
  <w:style w:type="paragraph" w:customStyle="1" w:styleId="10">
    <w:name w:val="Default"/>
    <w:uiPriority w:val="0"/>
    <w:pPr>
      <w:widowControl w:val="0"/>
      <w:autoSpaceDE w:val="0"/>
      <w:autoSpaceDN w:val="0"/>
      <w:adjustRightInd w:val="0"/>
    </w:pPr>
    <w:rPr>
      <w:rFonts w:ascii="方正小标宋_GBK" w:hAnsi="Calibri" w:eastAsia="方正小标宋_GBK"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1497</Words>
  <Characters>8539</Characters>
  <Lines>71</Lines>
  <Paragraphs>20</Paragraphs>
  <TotalTime>55</TotalTime>
  <ScaleCrop>false</ScaleCrop>
  <LinksUpToDate>false</LinksUpToDate>
  <CharactersWithSpaces>10016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cp:lastPrinted>2023-03-21T05:00:00Z</cp:lastPrinted>
  <dcterms:modified xsi:type="dcterms:W3CDTF">2023-03-29T03:00:27Z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0E5812D1EA5B4057802D2085DDB00004</vt:lpwstr>
  </property>
</Properties>
</file>