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  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（拍卖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/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GC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（暂定名）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eastAsia="宋体" w:cs="宋体"/>
          <w:color w:val="22222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万吨/年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采矿权出让收益缴纳方式（根据公告内容写入）。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     申请签订《重庆市采矿权出让合同》。若逾期未提交签订合同申请的，则视为竞得人自动放弃竞得资格，出让方不予退还保证金并有权另行出让该宗采矿权。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拍卖人（挂牌人）：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1549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2</Pages>
  <Words>99</Words>
  <Characters>569</Characters>
  <Lines>4</Lines>
  <Paragraphs>1</Paragraphs>
  <TotalTime>679</TotalTime>
  <ScaleCrop>false</ScaleCrop>
  <LinksUpToDate>false</LinksUpToDate>
  <CharactersWithSpaces>667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袁玮</cp:lastModifiedBy>
  <cp:lastPrinted>2019-08-19T08:49:00Z</cp:lastPrinted>
  <dcterms:modified xsi:type="dcterms:W3CDTF">2022-03-01T02:28:50Z</dcterms:modified>
  <cp:revision>656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