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color w:val="auto"/>
        </w:rPr>
      </w:pPr>
      <w:r>
        <w:rPr>
          <w:rFonts w:hint="eastAsia" w:ascii="宋体" w:hAnsi="宋体" w:eastAsia="宋体"/>
          <w:color w:val="auto"/>
          <w:sz w:val="36"/>
        </w:rPr>
        <w:t>重庆市合川区盐井街道观音村五社建筑用灰岩矿段采矿权</w:t>
      </w:r>
      <w:r>
        <w:rPr>
          <w:rFonts w:hint="eastAsia" w:ascii="宋体" w:hAnsi="宋体" w:eastAsia="宋体"/>
          <w:color w:val="auto"/>
          <w:sz w:val="36"/>
          <w:lang w:val="en-US" w:eastAsia="zh-CN"/>
        </w:rPr>
        <w:t>挂牌</w:t>
      </w:r>
      <w:r>
        <w:rPr>
          <w:rFonts w:hint="eastAsia" w:ascii="宋体" w:hAnsi="宋体" w:eastAsia="宋体"/>
          <w:color w:val="auto"/>
          <w:sz w:val="36"/>
        </w:rPr>
        <w:t>出让公告</w:t>
      </w:r>
    </w:p>
    <w:p>
      <w:pPr>
        <w:spacing w:line="340" w:lineRule="exact"/>
        <w:ind w:left="520"/>
        <w:jc w:val="center"/>
        <w:rPr>
          <w:rFonts w:ascii="宋体" w:hAnsi="宋体" w:eastAsia="宋体"/>
          <w:color w:val="auto"/>
          <w:sz w:val="24"/>
        </w:rPr>
      </w:pPr>
      <w:r>
        <w:rPr>
          <w:rFonts w:hint="eastAsia" w:ascii="宋体" w:hAnsi="宋体" w:eastAsia="宋体"/>
          <w:color w:val="auto"/>
          <w:sz w:val="32"/>
        </w:rPr>
        <w:t>渝矿采出字〔2023〕（合川）4号</w:t>
      </w:r>
    </w:p>
    <w:p>
      <w:pPr>
        <w:spacing w:line="340" w:lineRule="exact"/>
        <w:ind w:left="239" w:leftChars="114" w:firstLine="496" w:firstLineChars="207"/>
        <w:rPr>
          <w:rFonts w:hint="eastAsia" w:ascii="宋体" w:hAnsi="宋体" w:eastAsia="宋体"/>
          <w:color w:val="auto"/>
          <w:sz w:val="24"/>
          <w:szCs w:val="24"/>
        </w:rPr>
      </w:pPr>
      <w:r>
        <w:rPr>
          <w:rFonts w:hint="eastAsia" w:ascii="宋体" w:hAnsi="宋体" w:eastAsia="宋体"/>
          <w:color w:val="auto"/>
          <w:sz w:val="24"/>
          <w:szCs w:val="24"/>
        </w:rPr>
        <w:t>根据</w:t>
      </w:r>
      <w:r>
        <w:rPr>
          <w:rFonts w:hint="eastAsia" w:ascii="宋体" w:hAnsi="宋体" w:eastAsia="宋体"/>
          <w:color w:val="auto"/>
          <w:sz w:val="24"/>
          <w:lang w:val="en-US" w:eastAsia="zh-CN"/>
        </w:rPr>
        <w:t>国家</w:t>
      </w:r>
      <w:r>
        <w:rPr>
          <w:rFonts w:hint="eastAsia" w:ascii="宋体" w:hAnsi="宋体" w:eastAsia="宋体"/>
          <w:color w:val="auto"/>
          <w:sz w:val="24"/>
          <w:szCs w:val="24"/>
        </w:rPr>
        <w:t>和重庆市的相关规定，</w:t>
      </w:r>
      <w:r>
        <w:rPr>
          <w:rFonts w:hint="eastAsia" w:ascii="宋体" w:hAnsi="宋体" w:eastAsia="宋体"/>
          <w:color w:val="auto"/>
          <w:sz w:val="24"/>
          <w:szCs w:val="24"/>
          <w:lang w:val="en-US" w:eastAsia="zh-CN"/>
        </w:rPr>
        <w:t>重庆市合川区规划和自然资源局决定</w:t>
      </w:r>
      <w:r>
        <w:rPr>
          <w:rFonts w:hint="eastAsia" w:ascii="宋体" w:hAnsi="宋体" w:eastAsia="宋体"/>
          <w:color w:val="auto"/>
          <w:sz w:val="24"/>
          <w:szCs w:val="24"/>
        </w:rPr>
        <w:t>公开挂牌出让</w:t>
      </w:r>
      <w:r>
        <w:rPr>
          <w:rFonts w:hint="eastAsia" w:ascii="宋体" w:hAnsi="宋体" w:eastAsia="宋体"/>
          <w:color w:val="auto"/>
          <w:sz w:val="24"/>
          <w:szCs w:val="24"/>
          <w:lang w:val="en-US" w:eastAsia="zh-CN"/>
        </w:rPr>
        <w:t>以下采矿权</w:t>
      </w:r>
      <w:r>
        <w:rPr>
          <w:rFonts w:hint="eastAsia" w:ascii="宋体" w:hAnsi="宋体" w:eastAsia="宋体"/>
          <w:color w:val="auto"/>
          <w:sz w:val="24"/>
          <w:szCs w:val="24"/>
        </w:rPr>
        <w:t>，</w:t>
      </w:r>
      <w:r>
        <w:rPr>
          <w:rFonts w:hint="eastAsia" w:ascii="宋体" w:hAnsi="宋体" w:eastAsia="宋体"/>
          <w:color w:val="auto"/>
          <w:sz w:val="24"/>
          <w:szCs w:val="24"/>
          <w:lang w:val="en-US" w:eastAsia="zh-CN"/>
        </w:rPr>
        <w:t>并委托重庆</w:t>
      </w:r>
      <w:r>
        <w:rPr>
          <w:rFonts w:hint="eastAsia" w:ascii="宋体" w:hAnsi="宋体" w:eastAsia="宋体"/>
          <w:color w:val="auto"/>
          <w:sz w:val="24"/>
        </w:rPr>
        <w:t>市合川区公共资源交易中心</w:t>
      </w:r>
      <w:r>
        <w:rPr>
          <w:rFonts w:hint="eastAsia" w:ascii="宋体" w:hAnsi="宋体" w:eastAsia="宋体"/>
          <w:color w:val="auto"/>
          <w:sz w:val="24"/>
          <w:lang w:val="en-US" w:eastAsia="zh-CN"/>
        </w:rPr>
        <w:t>负责公开出让交易环节的组织实施。</w:t>
      </w:r>
      <w:r>
        <w:rPr>
          <w:rFonts w:hint="eastAsia" w:ascii="宋体" w:hAnsi="宋体" w:eastAsia="宋体"/>
          <w:color w:val="auto"/>
          <w:sz w:val="24"/>
          <w:szCs w:val="24"/>
        </w:rPr>
        <w:t>现将有关事项公告如下：</w:t>
      </w:r>
    </w:p>
    <w:p>
      <w:pPr>
        <w:spacing w:line="340" w:lineRule="exact"/>
        <w:ind w:left="239" w:leftChars="114" w:firstLine="496" w:firstLineChars="207"/>
        <w:rPr>
          <w:rFonts w:hint="default" w:ascii="宋体" w:hAnsi="宋体" w:eastAsia="宋体"/>
          <w:color w:val="auto"/>
          <w:sz w:val="24"/>
          <w:szCs w:val="24"/>
          <w:lang w:val="en-US" w:eastAsia="zh-CN"/>
        </w:rPr>
      </w:pPr>
      <w:r>
        <w:rPr>
          <w:rFonts w:hint="eastAsia" w:ascii="宋体" w:hAnsi="宋体" w:eastAsia="宋体"/>
          <w:color w:val="auto"/>
          <w:sz w:val="24"/>
        </w:rPr>
        <w:t>本次公告同步发布的网站：</w:t>
      </w:r>
      <w:r>
        <w:rPr>
          <w:rFonts w:hint="eastAsia" w:ascii="宋体" w:hAnsi="宋体" w:eastAsia="宋体"/>
          <w:color w:val="auto"/>
          <w:sz w:val="24"/>
          <w:lang w:val="en-US" w:eastAsia="zh-CN"/>
        </w:rPr>
        <w:t>中华人民共和国</w:t>
      </w:r>
      <w:r>
        <w:rPr>
          <w:rFonts w:hint="eastAsia" w:ascii="宋体" w:hAnsi="宋体" w:eastAsia="宋体"/>
          <w:color w:val="auto"/>
          <w:sz w:val="24"/>
        </w:rPr>
        <w:t>自然资源部</w:t>
      </w:r>
      <w:r>
        <w:rPr>
          <w:rFonts w:hint="eastAsia" w:ascii="宋体" w:hAnsi="宋体" w:eastAsia="宋体"/>
          <w:color w:val="auto"/>
          <w:sz w:val="24"/>
          <w:lang w:eastAsia="zh-CN"/>
        </w:rPr>
        <w:t>：https://www.mnr.gov.cn</w:t>
      </w:r>
      <w:r>
        <w:rPr>
          <w:rFonts w:hint="eastAsia" w:ascii="宋体" w:hAnsi="宋体" w:eastAsia="宋体"/>
          <w:color w:val="auto"/>
          <w:sz w:val="24"/>
        </w:rPr>
        <w:t>、重庆市规划和自然资源局：http：//ghzrzyj.cq.gov.cn、重庆市合川区公共资源交易中心：https：//www.cqggzy.com／hechuanweb。</w:t>
      </w:r>
    </w:p>
    <w:p>
      <w:pPr>
        <w:spacing w:line="340" w:lineRule="exact"/>
        <w:ind w:firstLine="723" w:firstLineChars="300"/>
        <w:rPr>
          <w:rFonts w:ascii="宋体" w:hAnsi="宋体" w:eastAsia="宋体"/>
          <w:b/>
          <w:bCs/>
          <w:color w:val="auto"/>
          <w:sz w:val="24"/>
        </w:rPr>
      </w:pPr>
      <w:r>
        <w:rPr>
          <w:rFonts w:hint="eastAsia" w:ascii="宋体" w:hAnsi="宋体" w:eastAsia="宋体"/>
          <w:b/>
          <w:bCs/>
          <w:color w:val="auto"/>
          <w:sz w:val="24"/>
          <w:lang w:val="en-US" w:eastAsia="zh-CN"/>
        </w:rPr>
        <w:t>一</w:t>
      </w:r>
      <w:r>
        <w:rPr>
          <w:rFonts w:hint="eastAsia" w:ascii="宋体" w:hAnsi="宋体" w:eastAsia="宋体"/>
          <w:b/>
          <w:bCs/>
          <w:color w:val="auto"/>
          <w:sz w:val="24"/>
        </w:rPr>
        <w:t>、</w:t>
      </w:r>
      <w:r>
        <w:rPr>
          <w:rFonts w:hint="eastAsia" w:ascii="宋体" w:hAnsi="宋体" w:eastAsia="宋体"/>
          <w:b/>
          <w:bCs/>
          <w:color w:val="auto"/>
          <w:sz w:val="24"/>
          <w:lang w:val="en-US" w:eastAsia="zh-CN"/>
        </w:rPr>
        <w:t>基本</w:t>
      </w:r>
      <w:r>
        <w:rPr>
          <w:rFonts w:hint="eastAsia" w:ascii="宋体" w:hAnsi="宋体" w:eastAsia="宋体"/>
          <w:b/>
          <w:bCs/>
          <w:color w:val="auto"/>
          <w:sz w:val="24"/>
        </w:rPr>
        <w:t>情况</w:t>
      </w:r>
    </w:p>
    <w:tbl>
      <w:tblPr>
        <w:tblStyle w:val="4"/>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337"/>
        <w:gridCol w:w="1478"/>
        <w:gridCol w:w="1091"/>
        <w:gridCol w:w="1091"/>
        <w:gridCol w:w="1442"/>
        <w:gridCol w:w="1101"/>
        <w:gridCol w:w="1413"/>
        <w:gridCol w:w="1120"/>
        <w:gridCol w:w="1314"/>
        <w:gridCol w:w="795"/>
        <w:gridCol w:w="1106"/>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00" w:hRule="atLeast"/>
          <w:jc w:val="center"/>
        </w:trPr>
        <w:tc>
          <w:tcPr>
            <w:tcW w:w="1337" w:type="dxa"/>
            <w:vAlign w:val="center"/>
          </w:tcPr>
          <w:p>
            <w:pPr>
              <w:spacing w:line="272" w:lineRule="exact"/>
              <w:jc w:val="center"/>
              <w:rPr>
                <w:color w:val="auto"/>
              </w:rPr>
            </w:pPr>
            <w:r>
              <w:rPr>
                <w:rFonts w:hint="eastAsia" w:ascii="宋体" w:hAnsi="宋体" w:eastAsia="宋体"/>
                <w:color w:val="auto"/>
                <w:sz w:val="20"/>
              </w:rPr>
              <w:t>序号</w:t>
            </w:r>
          </w:p>
        </w:tc>
        <w:tc>
          <w:tcPr>
            <w:tcW w:w="1478" w:type="dxa"/>
          </w:tcPr>
          <w:p>
            <w:pPr>
              <w:spacing w:before="187" w:line="285" w:lineRule="exact"/>
              <w:ind w:left="180"/>
              <w:jc w:val="center"/>
              <w:rPr>
                <w:color w:val="auto"/>
              </w:rPr>
            </w:pPr>
            <w:r>
              <w:rPr>
                <w:rFonts w:hint="eastAsia" w:ascii="宋体" w:hAnsi="宋体" w:eastAsia="宋体"/>
                <w:color w:val="auto"/>
                <w:sz w:val="20"/>
                <w:lang w:val="en-US" w:eastAsia="zh-CN"/>
              </w:rPr>
              <w:t>采矿权</w:t>
            </w:r>
            <w:r>
              <w:rPr>
                <w:rFonts w:hint="eastAsia" w:ascii="宋体" w:hAnsi="宋体" w:eastAsia="宋体"/>
                <w:color w:val="auto"/>
                <w:sz w:val="20"/>
              </w:rPr>
              <w:t>名称</w:t>
            </w:r>
          </w:p>
          <w:p>
            <w:pPr>
              <w:spacing w:line="288" w:lineRule="exact"/>
              <w:ind w:left="280"/>
              <w:jc w:val="center"/>
              <w:rPr>
                <w:color w:val="auto"/>
              </w:rPr>
            </w:pPr>
          </w:p>
        </w:tc>
        <w:tc>
          <w:tcPr>
            <w:tcW w:w="1091" w:type="dxa"/>
            <w:vAlign w:val="center"/>
          </w:tcPr>
          <w:p>
            <w:pPr>
              <w:spacing w:line="272" w:lineRule="exact"/>
              <w:jc w:val="center"/>
              <w:rPr>
                <w:color w:val="auto"/>
              </w:rPr>
            </w:pPr>
            <w:r>
              <w:rPr>
                <w:rFonts w:hint="eastAsia" w:ascii="宋体" w:hAnsi="宋体" w:eastAsia="宋体"/>
                <w:color w:val="auto"/>
                <w:sz w:val="20"/>
              </w:rPr>
              <w:t>地理位置</w:t>
            </w:r>
          </w:p>
        </w:tc>
        <w:tc>
          <w:tcPr>
            <w:tcW w:w="1091" w:type="dxa"/>
            <w:vAlign w:val="center"/>
          </w:tcPr>
          <w:p>
            <w:pPr>
              <w:spacing w:line="254" w:lineRule="exact"/>
              <w:ind w:left="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矿种</w:t>
            </w:r>
          </w:p>
        </w:tc>
        <w:tc>
          <w:tcPr>
            <w:tcW w:w="1442" w:type="dxa"/>
            <w:vAlign w:val="top"/>
          </w:tcPr>
          <w:p>
            <w:pPr>
              <w:spacing w:before="180" w:line="300" w:lineRule="exact"/>
              <w:jc w:val="center"/>
              <w:rPr>
                <w:color w:val="auto"/>
              </w:rPr>
            </w:pPr>
            <w:r>
              <w:rPr>
                <w:rFonts w:hint="eastAsia" w:ascii="宋体" w:hAnsi="宋体" w:eastAsia="宋体"/>
                <w:color w:val="auto"/>
                <w:sz w:val="20"/>
              </w:rPr>
              <w:t>矿区范围</w:t>
            </w:r>
          </w:p>
          <w:p>
            <w:pPr>
              <w:spacing w:line="272" w:lineRule="exact"/>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拐点坐标</w:t>
            </w:r>
          </w:p>
        </w:tc>
        <w:tc>
          <w:tcPr>
            <w:tcW w:w="1101" w:type="dxa"/>
            <w:vAlign w:val="center"/>
          </w:tcPr>
          <w:p>
            <w:pPr>
              <w:spacing w:line="266" w:lineRule="exact"/>
              <w:ind w:left="100" w:leftChars="0"/>
              <w:jc w:val="center"/>
              <w:rPr>
                <w:rFonts w:hint="eastAsia" w:eastAsia="宋体" w:asciiTheme="minorHAnsi" w:hAnsiTheme="minorHAnsi" w:cstheme="minorBidi"/>
                <w:color w:val="auto"/>
                <w:kern w:val="2"/>
                <w:sz w:val="21"/>
                <w:szCs w:val="22"/>
                <w:lang w:val="en-US" w:eastAsia="zh-CN" w:bidi="ar-SA"/>
              </w:rPr>
            </w:pPr>
            <w:r>
              <w:rPr>
                <w:rFonts w:hint="eastAsia" w:ascii="宋体" w:hAnsi="宋体" w:eastAsia="宋体"/>
                <w:color w:val="auto"/>
                <w:sz w:val="20"/>
              </w:rPr>
              <w:t>资源储量</w:t>
            </w:r>
          </w:p>
        </w:tc>
        <w:tc>
          <w:tcPr>
            <w:tcW w:w="1413" w:type="dxa"/>
            <w:vAlign w:val="top"/>
          </w:tcPr>
          <w:p>
            <w:pPr>
              <w:spacing w:before="169" w:line="291" w:lineRule="exact"/>
              <w:jc w:val="center"/>
              <w:rPr>
                <w:color w:val="auto"/>
              </w:rPr>
            </w:pPr>
            <w:r>
              <w:rPr>
                <w:rFonts w:hint="eastAsia" w:ascii="宋体" w:hAnsi="宋体" w:eastAsia="宋体"/>
                <w:color w:val="auto"/>
                <w:sz w:val="20"/>
              </w:rPr>
              <w:t>矿区面积</w:t>
            </w:r>
          </w:p>
          <w:p>
            <w:pPr>
              <w:spacing w:line="291" w:lineRule="exact"/>
              <w:ind w:left="12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（平方公里）</w:t>
            </w:r>
          </w:p>
        </w:tc>
        <w:tc>
          <w:tcPr>
            <w:tcW w:w="1120" w:type="dxa"/>
            <w:vAlign w:val="top"/>
          </w:tcPr>
          <w:p>
            <w:pPr>
              <w:spacing w:before="154" w:line="304" w:lineRule="exact"/>
              <w:jc w:val="center"/>
              <w:rPr>
                <w:color w:val="auto"/>
              </w:rPr>
            </w:pPr>
            <w:r>
              <w:rPr>
                <w:rFonts w:hint="eastAsia" w:ascii="宋体" w:hAnsi="宋体" w:eastAsia="宋体"/>
                <w:color w:val="auto"/>
                <w:sz w:val="20"/>
              </w:rPr>
              <w:t>开采</w:t>
            </w:r>
          </w:p>
          <w:p>
            <w:pPr>
              <w:spacing w:line="278" w:lineRule="exact"/>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标高</w:t>
            </w:r>
          </w:p>
        </w:tc>
        <w:tc>
          <w:tcPr>
            <w:tcW w:w="1314" w:type="dxa"/>
            <w:vAlign w:val="center"/>
          </w:tcPr>
          <w:p>
            <w:pPr>
              <w:spacing w:line="260" w:lineRule="exact"/>
              <w:ind w:left="2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生产规模</w:t>
            </w:r>
          </w:p>
        </w:tc>
        <w:tc>
          <w:tcPr>
            <w:tcW w:w="795" w:type="dxa"/>
            <w:vAlign w:val="top"/>
          </w:tcPr>
          <w:p>
            <w:pPr>
              <w:spacing w:before="178" w:line="291" w:lineRule="exact"/>
              <w:ind w:left="60"/>
              <w:jc w:val="center"/>
              <w:rPr>
                <w:color w:val="auto"/>
              </w:rPr>
            </w:pPr>
            <w:r>
              <w:rPr>
                <w:rFonts w:hint="eastAsia" w:ascii="宋体" w:hAnsi="宋体" w:eastAsia="宋体"/>
                <w:color w:val="auto"/>
                <w:sz w:val="20"/>
              </w:rPr>
              <w:t>出让年</w:t>
            </w:r>
          </w:p>
          <w:p>
            <w:pPr>
              <w:spacing w:line="307" w:lineRule="exact"/>
              <w:ind w:left="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限（年）</w:t>
            </w:r>
          </w:p>
        </w:tc>
        <w:tc>
          <w:tcPr>
            <w:tcW w:w="1106" w:type="dxa"/>
            <w:vAlign w:val="top"/>
          </w:tcPr>
          <w:p>
            <w:pPr>
              <w:spacing w:before="30" w:line="285" w:lineRule="exact"/>
              <w:ind w:left="80"/>
              <w:jc w:val="center"/>
              <w:rPr>
                <w:color w:val="auto"/>
              </w:rPr>
            </w:pPr>
            <w:r>
              <w:rPr>
                <w:rFonts w:hint="eastAsia" w:ascii="宋体" w:hAnsi="宋体" w:eastAsia="宋体"/>
                <w:color w:val="auto"/>
                <w:sz w:val="20"/>
              </w:rPr>
              <w:t>出让收益</w:t>
            </w:r>
          </w:p>
          <w:p>
            <w:pPr>
              <w:spacing w:line="272" w:lineRule="exact"/>
              <w:ind w:left="160"/>
              <w:jc w:val="center"/>
              <w:rPr>
                <w:color w:val="auto"/>
              </w:rPr>
            </w:pPr>
            <w:r>
              <w:rPr>
                <w:rFonts w:hint="eastAsia" w:ascii="宋体" w:hAnsi="宋体" w:eastAsia="宋体"/>
                <w:color w:val="auto"/>
                <w:sz w:val="20"/>
              </w:rPr>
              <w:t>起始价</w:t>
            </w:r>
          </w:p>
          <w:p>
            <w:pPr>
              <w:spacing w:line="300" w:lineRule="exact"/>
              <w:ind w:left="1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（万元）</w:t>
            </w:r>
          </w:p>
        </w:tc>
        <w:tc>
          <w:tcPr>
            <w:tcW w:w="852" w:type="dxa"/>
            <w:vAlign w:val="center"/>
          </w:tcPr>
          <w:p>
            <w:pPr>
              <w:spacing w:line="291" w:lineRule="exact"/>
              <w:ind w:left="80"/>
              <w:jc w:val="center"/>
              <w:rPr>
                <w:color w:val="auto"/>
              </w:rPr>
            </w:pPr>
            <w:r>
              <w:rPr>
                <w:rFonts w:hint="eastAsia" w:ascii="宋体" w:hAnsi="宋体" w:eastAsia="宋体"/>
                <w:color w:val="auto"/>
                <w:sz w:val="20"/>
              </w:rPr>
              <w:t>保证金</w:t>
            </w:r>
          </w:p>
          <w:p>
            <w:pPr>
              <w:spacing w:line="291" w:lineRule="exact"/>
              <w:ind w:left="60"/>
              <w:jc w:val="center"/>
              <w:rPr>
                <w:color w:val="auto"/>
              </w:rPr>
            </w:pPr>
            <w:r>
              <w:rPr>
                <w:rFonts w:hint="eastAsia" w:ascii="宋体" w:hAnsi="宋体" w:eastAsia="宋体"/>
                <w:color w:val="auto"/>
                <w:sz w:val="20"/>
              </w:rPr>
              <w:t>金额（万</w:t>
            </w:r>
          </w:p>
          <w:p>
            <w:pPr>
              <w:spacing w:line="266" w:lineRule="exact"/>
              <w:ind w:left="2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220" w:hRule="atLeast"/>
          <w:jc w:val="center"/>
        </w:trPr>
        <w:tc>
          <w:tcPr>
            <w:tcW w:w="1337" w:type="dxa"/>
            <w:vAlign w:val="center"/>
          </w:tcPr>
          <w:p>
            <w:pPr>
              <w:spacing w:line="320" w:lineRule="exact"/>
              <w:ind w:left="60"/>
              <w:jc w:val="center"/>
              <w:rPr>
                <w:rFonts w:eastAsia="宋体"/>
                <w:color w:val="auto"/>
              </w:rPr>
            </w:pPr>
            <w:r>
              <w:rPr>
                <w:rFonts w:hint="eastAsia" w:ascii="Arial" w:hAnsi="Arial" w:eastAsia="宋体"/>
                <w:color w:val="auto"/>
                <w:sz w:val="20"/>
                <w:lang w:val="en-US" w:eastAsia="zh-CN"/>
              </w:rPr>
              <w:t>HC</w:t>
            </w:r>
            <w:r>
              <w:rPr>
                <w:rFonts w:hint="eastAsia" w:ascii="Arial" w:hAnsi="Arial" w:eastAsia="Arial"/>
                <w:color w:val="auto"/>
                <w:sz w:val="20"/>
              </w:rPr>
              <w:t>G</w:t>
            </w:r>
            <w:r>
              <w:rPr>
                <w:rFonts w:hint="eastAsia" w:ascii="Arial" w:hAnsi="Arial" w:eastAsia="宋体"/>
                <w:color w:val="auto"/>
                <w:sz w:val="20"/>
              </w:rPr>
              <w:t>C202304</w:t>
            </w:r>
          </w:p>
        </w:tc>
        <w:tc>
          <w:tcPr>
            <w:tcW w:w="1478" w:type="dxa"/>
            <w:vAlign w:val="center"/>
          </w:tcPr>
          <w:p>
            <w:pPr>
              <w:spacing w:line="300" w:lineRule="exact"/>
              <w:jc w:val="center"/>
              <w:rPr>
                <w:rFonts w:eastAsia="宋体"/>
                <w:color w:val="auto"/>
              </w:rPr>
            </w:pPr>
            <w:r>
              <w:rPr>
                <w:rFonts w:hint="eastAsia" w:ascii="宋体" w:hAnsi="宋体" w:eastAsia="宋体"/>
                <w:color w:val="auto"/>
                <w:sz w:val="20"/>
              </w:rPr>
              <w:t>合川区盐井街道观音村五社建筑用灰岩矿段</w:t>
            </w:r>
          </w:p>
        </w:tc>
        <w:tc>
          <w:tcPr>
            <w:tcW w:w="1091" w:type="dxa"/>
            <w:vAlign w:val="center"/>
          </w:tcPr>
          <w:p>
            <w:pPr>
              <w:spacing w:line="300" w:lineRule="exact"/>
              <w:ind w:left="180"/>
              <w:jc w:val="center"/>
              <w:rPr>
                <w:color w:val="auto"/>
              </w:rPr>
            </w:pPr>
            <w:r>
              <w:rPr>
                <w:rFonts w:hint="eastAsia" w:ascii="宋体" w:hAnsi="宋体" w:eastAsia="宋体"/>
                <w:color w:val="auto"/>
                <w:sz w:val="20"/>
              </w:rPr>
              <w:t>合川区盐井街道观音村七社</w:t>
            </w:r>
          </w:p>
        </w:tc>
        <w:tc>
          <w:tcPr>
            <w:tcW w:w="1091" w:type="dxa"/>
            <w:vAlign w:val="center"/>
          </w:tcPr>
          <w:p>
            <w:pPr>
              <w:spacing w:line="300" w:lineRule="exact"/>
              <w:ind w:left="180"/>
              <w:jc w:val="center"/>
              <w:rPr>
                <w:rFonts w:ascii="宋体" w:hAnsi="宋体" w:eastAsia="宋体"/>
                <w:color w:val="auto"/>
                <w:sz w:val="20"/>
              </w:rPr>
            </w:pPr>
            <w:r>
              <w:rPr>
                <w:rFonts w:hint="eastAsia" w:ascii="宋体" w:hAnsi="宋体" w:eastAsia="宋体"/>
                <w:color w:val="auto"/>
                <w:sz w:val="20"/>
              </w:rPr>
              <w:t>建筑</w:t>
            </w:r>
          </w:p>
          <w:p>
            <w:pPr>
              <w:spacing w:line="300" w:lineRule="exact"/>
              <w:ind w:left="18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用灰岩</w:t>
            </w:r>
          </w:p>
        </w:tc>
        <w:tc>
          <w:tcPr>
            <w:tcW w:w="1442" w:type="dxa"/>
            <w:vAlign w:val="center"/>
          </w:tcPr>
          <w:p>
            <w:pPr>
              <w:spacing w:line="300" w:lineRule="exact"/>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详见《</w:t>
            </w:r>
            <w:r>
              <w:rPr>
                <w:rFonts w:hint="eastAsia" w:ascii="宋体" w:hAnsi="宋体" w:eastAsia="宋体"/>
                <w:color w:val="auto"/>
                <w:sz w:val="20"/>
                <w:lang w:val="en-US" w:eastAsia="zh-CN"/>
              </w:rPr>
              <w:t>出让文件</w:t>
            </w:r>
            <w:r>
              <w:rPr>
                <w:rFonts w:hint="eastAsia" w:ascii="宋体" w:hAnsi="宋体" w:eastAsia="宋体"/>
                <w:color w:val="auto"/>
                <w:sz w:val="20"/>
              </w:rPr>
              <w:t>》</w:t>
            </w:r>
          </w:p>
        </w:tc>
        <w:tc>
          <w:tcPr>
            <w:tcW w:w="1101" w:type="dxa"/>
            <w:vAlign w:val="center"/>
          </w:tcPr>
          <w:p>
            <w:pPr>
              <w:spacing w:before="5" w:line="260" w:lineRule="exact"/>
              <w:ind w:left="80"/>
              <w:jc w:val="center"/>
              <w:rPr>
                <w:rFonts w:hint="eastAsia" w:ascii="宋体" w:hAnsi="宋体" w:eastAsia="宋体"/>
                <w:color w:val="auto"/>
                <w:sz w:val="20"/>
              </w:rPr>
            </w:pPr>
            <w:r>
              <w:rPr>
                <w:rFonts w:hint="eastAsia" w:ascii="宋体" w:hAnsi="宋体" w:eastAsia="宋体"/>
                <w:color w:val="auto"/>
                <w:sz w:val="20"/>
              </w:rPr>
              <w:t>624.4万吨</w:t>
            </w:r>
          </w:p>
          <w:p>
            <w:pPr>
              <w:spacing w:before="5" w:line="260" w:lineRule="exact"/>
              <w:ind w:left="80" w:leftChars="0"/>
              <w:jc w:val="center"/>
              <w:rPr>
                <w:rFonts w:hint="eastAsia" w:ascii="宋体" w:hAnsi="宋体" w:eastAsia="宋体" w:cstheme="minorBidi"/>
                <w:color w:val="auto"/>
                <w:kern w:val="2"/>
                <w:sz w:val="20"/>
                <w:szCs w:val="22"/>
                <w:lang w:val="en-US" w:eastAsia="zh-CN" w:bidi="ar-SA"/>
              </w:rPr>
            </w:pPr>
          </w:p>
        </w:tc>
        <w:tc>
          <w:tcPr>
            <w:tcW w:w="1413" w:type="dxa"/>
            <w:vAlign w:val="center"/>
          </w:tcPr>
          <w:p>
            <w:pPr>
              <w:spacing w:before="21" w:line="240" w:lineRule="exact"/>
              <w:jc w:val="center"/>
              <w:rPr>
                <w:rFonts w:hint="eastAsia" w:ascii="宋体" w:hAnsi="宋体" w:eastAsia="宋体" w:cstheme="minorBidi"/>
                <w:color w:val="auto"/>
                <w:kern w:val="2"/>
                <w:sz w:val="20"/>
                <w:szCs w:val="22"/>
                <w:lang w:val="en-US" w:eastAsia="zh-CN" w:bidi="ar-SA"/>
              </w:rPr>
            </w:pPr>
            <w:r>
              <w:rPr>
                <w:rFonts w:hint="eastAsia" w:ascii="宋体" w:hAnsi="宋体" w:eastAsia="宋体"/>
                <w:color w:val="auto"/>
                <w:sz w:val="20"/>
              </w:rPr>
              <w:t>0.0466</w:t>
            </w:r>
          </w:p>
        </w:tc>
        <w:tc>
          <w:tcPr>
            <w:tcW w:w="1120" w:type="dxa"/>
            <w:vAlign w:val="center"/>
          </w:tcPr>
          <w:p>
            <w:pPr>
              <w:spacing w:line="280" w:lineRule="exact"/>
              <w:ind w:left="80"/>
              <w:jc w:val="center"/>
              <w:rPr>
                <w:rFonts w:ascii="宋体" w:hAnsi="宋体" w:eastAsia="宋体"/>
                <w:color w:val="auto"/>
                <w:sz w:val="20"/>
              </w:rPr>
            </w:pPr>
            <w:r>
              <w:rPr>
                <w:rFonts w:hint="eastAsia" w:ascii="宋体" w:hAnsi="宋体" w:eastAsia="宋体"/>
                <w:color w:val="auto"/>
                <w:sz w:val="20"/>
              </w:rPr>
              <w:t>＋380米至</w:t>
            </w:r>
          </w:p>
          <w:p>
            <w:pPr>
              <w:spacing w:line="280" w:lineRule="exact"/>
              <w:ind w:left="160" w:leftChars="0"/>
              <w:jc w:val="center"/>
              <w:rPr>
                <w:rFonts w:hint="eastAsia" w:ascii="宋体" w:hAnsi="宋体" w:eastAsia="宋体" w:cstheme="minorBidi"/>
                <w:color w:val="auto"/>
                <w:kern w:val="2"/>
                <w:sz w:val="20"/>
                <w:szCs w:val="22"/>
                <w:lang w:val="en-US" w:eastAsia="zh-CN" w:bidi="ar-SA"/>
              </w:rPr>
            </w:pPr>
            <w:r>
              <w:rPr>
                <w:rFonts w:hint="eastAsia" w:ascii="宋体" w:hAnsi="宋体" w:eastAsia="宋体"/>
                <w:color w:val="auto"/>
                <w:sz w:val="20"/>
              </w:rPr>
              <w:t>＋251米</w:t>
            </w:r>
          </w:p>
        </w:tc>
        <w:tc>
          <w:tcPr>
            <w:tcW w:w="1314" w:type="dxa"/>
            <w:vAlign w:val="center"/>
          </w:tcPr>
          <w:p>
            <w:pPr>
              <w:spacing w:line="260" w:lineRule="exact"/>
              <w:ind w:left="1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100万吨/年</w:t>
            </w:r>
          </w:p>
        </w:tc>
        <w:tc>
          <w:tcPr>
            <w:tcW w:w="795" w:type="dxa"/>
            <w:vAlign w:val="center"/>
          </w:tcPr>
          <w:p>
            <w:pPr>
              <w:spacing w:line="280" w:lineRule="exact"/>
              <w:ind w:left="160" w:leftChars="0"/>
              <w:jc w:val="center"/>
              <w:rPr>
                <w:rFonts w:hint="eastAsia" w:ascii="宋体" w:hAnsi="宋体" w:eastAsia="宋体" w:cstheme="minorBidi"/>
                <w:color w:val="auto"/>
                <w:kern w:val="2"/>
                <w:sz w:val="20"/>
                <w:szCs w:val="22"/>
                <w:lang w:val="en-US" w:eastAsia="zh-CN" w:bidi="ar-SA"/>
              </w:rPr>
            </w:pPr>
            <w:r>
              <w:rPr>
                <w:rFonts w:hint="eastAsia" w:ascii="宋体" w:hAnsi="宋体" w:eastAsia="宋体"/>
                <w:color w:val="auto"/>
                <w:sz w:val="20"/>
              </w:rPr>
              <w:t>3.1</w:t>
            </w:r>
          </w:p>
        </w:tc>
        <w:tc>
          <w:tcPr>
            <w:tcW w:w="1106" w:type="dxa"/>
            <w:vAlign w:val="center"/>
          </w:tcPr>
          <w:p>
            <w:pPr>
              <w:spacing w:line="272" w:lineRule="exact"/>
              <w:jc w:val="center"/>
              <w:rPr>
                <w:rFonts w:hint="eastAsia" w:ascii="宋体" w:hAnsi="宋体" w:eastAsia="宋体" w:cstheme="minorBidi"/>
                <w:color w:val="auto"/>
                <w:kern w:val="2"/>
                <w:sz w:val="20"/>
                <w:szCs w:val="22"/>
                <w:lang w:val="en-US" w:eastAsia="zh-CN" w:bidi="ar-SA"/>
              </w:rPr>
            </w:pPr>
            <w:r>
              <w:rPr>
                <w:rFonts w:ascii="宋体" w:hAnsi="宋体" w:eastAsia="宋体"/>
                <w:color w:val="auto"/>
                <w:sz w:val="20"/>
              </w:rPr>
              <w:t>4782.904</w:t>
            </w:r>
          </w:p>
        </w:tc>
        <w:tc>
          <w:tcPr>
            <w:tcW w:w="852" w:type="dxa"/>
            <w:vAlign w:val="center"/>
          </w:tcPr>
          <w:p>
            <w:pPr>
              <w:spacing w:before="7" w:line="280" w:lineRule="exact"/>
              <w:ind w:left="200" w:leftChars="0"/>
              <w:jc w:val="center"/>
              <w:rPr>
                <w:rFonts w:hint="default" w:ascii="宋体" w:hAnsi="宋体" w:eastAsia="宋体" w:cstheme="minorBidi"/>
                <w:color w:val="auto"/>
                <w:kern w:val="2"/>
                <w:sz w:val="20"/>
                <w:szCs w:val="22"/>
                <w:lang w:val="en-US" w:eastAsia="zh-CN" w:bidi="ar-SA"/>
              </w:rPr>
            </w:pPr>
            <w:r>
              <w:rPr>
                <w:rFonts w:hint="eastAsia" w:ascii="宋体" w:hAnsi="宋体" w:eastAsia="宋体"/>
                <w:color w:val="auto"/>
                <w:sz w:val="20"/>
                <w:lang w:val="en-US" w:eastAsia="zh-CN"/>
              </w:rPr>
              <w:t>956.58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6" w:hRule="atLeast"/>
          <w:jc w:val="center"/>
        </w:trPr>
        <w:tc>
          <w:tcPr>
            <w:tcW w:w="14140" w:type="dxa"/>
            <w:gridSpan w:val="12"/>
          </w:tcPr>
          <w:p>
            <w:pPr>
              <w:spacing w:before="7" w:line="280" w:lineRule="exact"/>
              <w:jc w:val="both"/>
              <w:rPr>
                <w:rFonts w:hint="default" w:ascii="宋体" w:hAnsi="宋体" w:eastAsia="宋体"/>
                <w:color w:val="auto"/>
                <w:sz w:val="20"/>
                <w:lang w:val="en-US" w:eastAsia="zh-CN"/>
              </w:rPr>
            </w:pPr>
            <w:r>
              <w:rPr>
                <w:rFonts w:hint="eastAsia" w:ascii="宋体" w:hAnsi="宋体" w:eastAsia="宋体"/>
                <w:color w:val="auto"/>
                <w:sz w:val="20"/>
                <w:lang w:val="en-US" w:eastAsia="zh-CN"/>
              </w:rPr>
              <w:t>备注：</w:t>
            </w:r>
            <w:r>
              <w:rPr>
                <w:rFonts w:hint="eastAsia" w:ascii="宋体" w:hAnsi="宋体" w:eastAsia="宋体"/>
                <w:color w:val="auto"/>
                <w:sz w:val="24"/>
              </w:rPr>
              <w:t>多目标管理、开发全过程动态管理要求按相关法律法规执行；土地复垦、矿山地质环境保护与治理恢复按批准的方案执行。</w:t>
            </w:r>
          </w:p>
        </w:tc>
      </w:tr>
    </w:tbl>
    <w:p>
      <w:pPr>
        <w:numPr>
          <w:ilvl w:val="0"/>
          <w:numId w:val="0"/>
        </w:numPr>
        <w:spacing w:line="340" w:lineRule="exact"/>
        <w:ind w:leftChars="200" w:firstLine="241" w:firstLineChars="100"/>
        <w:rPr>
          <w:rFonts w:hint="eastAsia" w:ascii="宋体" w:hAnsi="宋体" w:eastAsia="宋体"/>
          <w:b/>
          <w:bCs/>
          <w:color w:val="auto"/>
          <w:sz w:val="24"/>
          <w:lang w:eastAsia="zh-CN"/>
        </w:rPr>
      </w:pPr>
      <w:r>
        <w:rPr>
          <w:rFonts w:hint="eastAsia" w:ascii="宋体" w:hAnsi="宋体" w:eastAsia="宋体"/>
          <w:b/>
          <w:bCs/>
          <w:color w:val="auto"/>
          <w:sz w:val="24"/>
          <w:lang w:val="en-US" w:eastAsia="zh-CN"/>
        </w:rPr>
        <w:t>二、出让人：</w:t>
      </w:r>
      <w:r>
        <w:rPr>
          <w:rFonts w:hint="eastAsia" w:ascii="宋体" w:hAnsi="宋体" w:eastAsia="宋体"/>
          <w:color w:val="auto"/>
          <w:sz w:val="24"/>
          <w:szCs w:val="24"/>
        </w:rPr>
        <w:t>重庆市合川区规划和自然资源局，地址：重庆市合川区南津街街道希尔安大道490号，联系人：李老师、刘老师 联系电话：023-42751866、023-42751029。</w:t>
      </w:r>
    </w:p>
    <w:p>
      <w:pPr>
        <w:spacing w:line="340" w:lineRule="exact"/>
        <w:ind w:firstLine="723" w:firstLineChars="300"/>
        <w:rPr>
          <w:rFonts w:ascii="宋体" w:hAnsi="宋体" w:eastAsia="宋体"/>
          <w:color w:val="auto"/>
          <w:sz w:val="24"/>
          <w:szCs w:val="24"/>
        </w:rPr>
      </w:pPr>
      <w:r>
        <w:rPr>
          <w:rFonts w:hint="eastAsia" w:ascii="宋体" w:hAnsi="宋体" w:eastAsia="宋体"/>
          <w:b/>
          <w:bCs/>
          <w:color w:val="auto"/>
          <w:sz w:val="24"/>
          <w:lang w:val="en-US" w:eastAsia="zh-CN"/>
        </w:rPr>
        <w:t>三、交易平台：</w:t>
      </w:r>
      <w:r>
        <w:rPr>
          <w:rFonts w:hint="eastAsia" w:ascii="宋体" w:hAnsi="宋体" w:eastAsia="宋体"/>
          <w:color w:val="auto"/>
          <w:sz w:val="24"/>
          <w:szCs w:val="24"/>
          <w:lang w:val="en-US" w:eastAsia="zh-CN"/>
        </w:rPr>
        <w:t>重</w:t>
      </w:r>
      <w:r>
        <w:rPr>
          <w:rFonts w:hint="eastAsia" w:ascii="宋体" w:hAnsi="宋体" w:eastAsia="宋体"/>
          <w:color w:val="auto"/>
          <w:sz w:val="24"/>
          <w:szCs w:val="24"/>
        </w:rPr>
        <w:t>庆市合川区公共资源交易中心，地址：重庆市合川区南津街街道希尔安大道225号5楼，联系人：</w:t>
      </w:r>
      <w:r>
        <w:rPr>
          <w:rFonts w:hint="eastAsia" w:ascii="宋体" w:hAnsi="宋体" w:eastAsia="宋体"/>
          <w:color w:val="auto"/>
          <w:sz w:val="24"/>
          <w:szCs w:val="24"/>
          <w:lang w:val="en-US" w:eastAsia="zh-CN"/>
        </w:rPr>
        <w:t>郑</w:t>
      </w:r>
      <w:r>
        <w:rPr>
          <w:rFonts w:hint="eastAsia" w:ascii="宋体" w:hAnsi="宋体" w:eastAsia="宋体"/>
          <w:color w:val="auto"/>
          <w:sz w:val="24"/>
          <w:szCs w:val="24"/>
        </w:rPr>
        <w:t>老师</w:t>
      </w:r>
      <w:r>
        <w:rPr>
          <w:rFonts w:hint="eastAsia" w:ascii="宋体" w:hAnsi="宋体" w:eastAsia="宋体"/>
          <w:color w:val="auto"/>
          <w:sz w:val="24"/>
          <w:szCs w:val="24"/>
          <w:lang w:eastAsia="zh-CN"/>
        </w:rPr>
        <w:t>，</w:t>
      </w:r>
      <w:r>
        <w:rPr>
          <w:rFonts w:hint="eastAsia" w:ascii="宋体" w:hAnsi="宋体" w:eastAsia="宋体"/>
          <w:color w:val="auto"/>
          <w:sz w:val="24"/>
          <w:szCs w:val="24"/>
        </w:rPr>
        <w:t>联系电话：023-42757282。</w:t>
      </w:r>
      <w:bookmarkStart w:id="0" w:name="_GoBack"/>
      <w:bookmarkEnd w:id="0"/>
    </w:p>
    <w:p>
      <w:pPr>
        <w:spacing w:line="340" w:lineRule="exact"/>
        <w:ind w:firstLine="723" w:firstLineChars="300"/>
        <w:rPr>
          <w:rFonts w:hint="eastAsia" w:ascii="宋体" w:hAnsi="宋体" w:eastAsia="宋体"/>
          <w:b/>
          <w:bCs/>
          <w:color w:val="auto"/>
          <w:sz w:val="24"/>
          <w:lang w:val="en-US" w:eastAsia="zh-CN"/>
        </w:rPr>
      </w:pPr>
      <w:r>
        <w:rPr>
          <w:rFonts w:hint="eastAsia" w:ascii="宋体" w:hAnsi="宋体" w:eastAsia="宋体"/>
          <w:b/>
          <w:bCs/>
          <w:color w:val="auto"/>
          <w:sz w:val="24"/>
          <w:lang w:val="en-US" w:eastAsia="zh-CN"/>
        </w:rPr>
        <w:t>四、竞买人资质条件：</w:t>
      </w:r>
    </w:p>
    <w:p>
      <w:pPr>
        <w:spacing w:line="340" w:lineRule="exact"/>
        <w:ind w:firstLine="500"/>
        <w:jc w:val="left"/>
        <w:rPr>
          <w:color w:val="auto"/>
          <w:sz w:val="24"/>
          <w:szCs w:val="24"/>
        </w:rPr>
      </w:pPr>
      <w:r>
        <w:rPr>
          <w:rFonts w:hint="eastAsia" w:ascii="宋体" w:hAnsi="宋体" w:eastAsia="宋体"/>
          <w:color w:val="auto"/>
          <w:sz w:val="24"/>
          <w:szCs w:val="24"/>
        </w:rPr>
        <w:t>（一）竞买申请人须为营利法人；</w:t>
      </w:r>
    </w:p>
    <w:p>
      <w:pPr>
        <w:spacing w:line="340" w:lineRule="exact"/>
        <w:ind w:firstLine="500"/>
        <w:jc w:val="left"/>
        <w:rPr>
          <w:color w:val="auto"/>
          <w:sz w:val="24"/>
          <w:szCs w:val="24"/>
        </w:rPr>
      </w:pPr>
      <w:r>
        <w:rPr>
          <w:rFonts w:hint="eastAsia" w:ascii="宋体" w:hAnsi="宋体" w:eastAsia="宋体"/>
          <w:color w:val="auto"/>
          <w:sz w:val="24"/>
          <w:szCs w:val="24"/>
        </w:rPr>
        <w:t>（二）竞买申请人属于以下情形之一的不得参与竞买：</w:t>
      </w:r>
    </w:p>
    <w:p>
      <w:pPr>
        <w:spacing w:line="340" w:lineRule="exact"/>
        <w:ind w:firstLine="496" w:firstLineChars="207"/>
        <w:rPr>
          <w:rFonts w:ascii="宋体" w:hAnsi="宋体" w:eastAsia="宋体"/>
          <w:color w:val="auto"/>
          <w:sz w:val="24"/>
          <w:szCs w:val="24"/>
        </w:rPr>
      </w:pPr>
      <w:r>
        <w:rPr>
          <w:rFonts w:hint="eastAsia" w:ascii="宋体" w:hAnsi="宋体" w:eastAsia="宋体"/>
          <w:color w:val="auto"/>
          <w:sz w:val="24"/>
          <w:szCs w:val="24"/>
        </w:rPr>
        <w:t>1、</w:t>
      </w:r>
      <w:r>
        <w:rPr>
          <w:rFonts w:hint="eastAsia" w:ascii="宋体" w:hAnsi="宋体" w:eastAsia="宋体"/>
          <w:color w:val="auto"/>
          <w:sz w:val="24"/>
          <w:szCs w:val="24"/>
          <w:lang w:val="en-US" w:eastAsia="zh-CN"/>
        </w:rPr>
        <w:t>在</w:t>
      </w:r>
      <w:r>
        <w:rPr>
          <w:rFonts w:hint="eastAsia" w:ascii="宋体" w:hAnsi="宋体" w:eastAsia="宋体"/>
          <w:color w:val="auto"/>
          <w:sz w:val="24"/>
          <w:szCs w:val="24"/>
        </w:rPr>
        <w:t>自然资源部矿业权人勘查开采信息公示系统</w:t>
      </w:r>
      <w:r>
        <w:rPr>
          <w:rFonts w:hint="eastAsia" w:ascii="宋体" w:hAnsi="宋体" w:eastAsia="宋体"/>
          <w:color w:val="auto"/>
          <w:sz w:val="24"/>
          <w:szCs w:val="24"/>
          <w:lang w:val="en-US" w:eastAsia="zh-CN"/>
        </w:rPr>
        <w:t>的</w:t>
      </w:r>
      <w:r>
        <w:rPr>
          <w:rFonts w:hint="eastAsia" w:ascii="宋体" w:hAnsi="宋体" w:eastAsia="宋体"/>
          <w:color w:val="auto"/>
          <w:sz w:val="24"/>
          <w:szCs w:val="24"/>
        </w:rPr>
        <w:t>“矿业权人严重违法名单”</w:t>
      </w:r>
      <w:r>
        <w:rPr>
          <w:rFonts w:hint="eastAsia" w:ascii="宋体" w:hAnsi="宋体" w:eastAsia="宋体"/>
          <w:color w:val="auto"/>
          <w:sz w:val="24"/>
          <w:szCs w:val="24"/>
          <w:lang w:val="en-US" w:eastAsia="zh-CN"/>
        </w:rPr>
        <w:t>内</w:t>
      </w:r>
      <w:r>
        <w:rPr>
          <w:rFonts w:hint="eastAsia" w:ascii="宋体" w:hAnsi="宋体" w:eastAsia="宋体"/>
          <w:color w:val="auto"/>
          <w:sz w:val="24"/>
          <w:szCs w:val="24"/>
        </w:rPr>
        <w:t>；</w:t>
      </w:r>
    </w:p>
    <w:p>
      <w:pPr>
        <w:spacing w:line="340" w:lineRule="exact"/>
        <w:ind w:firstLine="500"/>
        <w:rPr>
          <w:rFonts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color w:val="auto"/>
          <w:sz w:val="24"/>
          <w:szCs w:val="24"/>
          <w:lang w:val="en-US" w:eastAsia="zh-CN"/>
        </w:rPr>
        <w:t>在</w:t>
      </w:r>
      <w:r>
        <w:rPr>
          <w:rFonts w:hint="eastAsia" w:ascii="宋体" w:hAnsi="宋体" w:eastAsia="宋体"/>
          <w:color w:val="auto"/>
          <w:sz w:val="24"/>
          <w:szCs w:val="24"/>
        </w:rPr>
        <w:t>“信用中国”</w:t>
      </w:r>
      <w:r>
        <w:rPr>
          <w:rFonts w:hint="eastAsia" w:ascii="宋体" w:hAnsi="宋体" w:eastAsia="宋体"/>
          <w:color w:val="auto"/>
          <w:sz w:val="24"/>
          <w:szCs w:val="24"/>
          <w:lang w:val="en-US" w:eastAsia="zh-CN"/>
        </w:rPr>
        <w:t>网站的“严</w:t>
      </w:r>
      <w:r>
        <w:rPr>
          <w:rFonts w:hint="eastAsia" w:ascii="宋体" w:hAnsi="宋体" w:eastAsia="宋体"/>
          <w:color w:val="auto"/>
          <w:sz w:val="24"/>
          <w:szCs w:val="24"/>
        </w:rPr>
        <w:t>重失信主体名单”</w:t>
      </w:r>
      <w:r>
        <w:rPr>
          <w:rFonts w:hint="eastAsia" w:ascii="宋体" w:hAnsi="宋体" w:eastAsia="宋体"/>
          <w:color w:val="auto"/>
          <w:sz w:val="24"/>
          <w:szCs w:val="24"/>
          <w:lang w:val="en-US" w:eastAsia="zh-CN"/>
        </w:rPr>
        <w:t>内或在</w:t>
      </w:r>
      <w:r>
        <w:rPr>
          <w:rFonts w:hint="eastAsia" w:ascii="宋体" w:hAnsi="宋体" w:eastAsia="宋体"/>
          <w:color w:val="auto"/>
          <w:sz w:val="24"/>
          <w:szCs w:val="24"/>
        </w:rPr>
        <w:t>重庆市信用惩戒严重失信主体“黑名单”内</w:t>
      </w:r>
      <w:r>
        <w:rPr>
          <w:rFonts w:hint="eastAsia" w:ascii="宋体" w:hAnsi="宋体" w:eastAsia="宋体"/>
          <w:color w:val="auto"/>
          <w:sz w:val="24"/>
          <w:szCs w:val="24"/>
          <w:lang w:val="en-US" w:eastAsia="zh-CN"/>
        </w:rPr>
        <w:t>禁止参与矿业权出让的</w:t>
      </w:r>
      <w:r>
        <w:rPr>
          <w:rFonts w:hint="eastAsia" w:ascii="宋体" w:hAnsi="宋体" w:eastAsia="宋体"/>
          <w:color w:val="auto"/>
          <w:sz w:val="24"/>
          <w:szCs w:val="24"/>
        </w:rPr>
        <w:t>；</w:t>
      </w:r>
    </w:p>
    <w:p>
      <w:pPr>
        <w:spacing w:line="340" w:lineRule="exact"/>
        <w:ind w:firstLine="500"/>
        <w:rPr>
          <w:rFonts w:ascii="宋体" w:hAnsi="宋体" w:eastAsia="宋体"/>
          <w:color w:val="auto"/>
          <w:sz w:val="24"/>
          <w:szCs w:val="24"/>
        </w:rPr>
      </w:pPr>
      <w:r>
        <w:rPr>
          <w:rFonts w:hint="eastAsia" w:ascii="宋体" w:hAnsi="宋体" w:eastAsia="宋体"/>
          <w:color w:val="auto"/>
          <w:sz w:val="24"/>
          <w:szCs w:val="24"/>
        </w:rPr>
        <w:t>3．被吊销采矿许可证之日起2年内。</w:t>
      </w:r>
    </w:p>
    <w:p>
      <w:pPr>
        <w:spacing w:line="340" w:lineRule="exact"/>
        <w:ind w:left="20" w:firstLine="500"/>
        <w:rPr>
          <w:rFonts w:ascii="宋体" w:hAnsi="宋体" w:eastAsia="宋体"/>
          <w:b/>
          <w:bCs/>
          <w:color w:val="auto"/>
          <w:sz w:val="24"/>
        </w:rPr>
      </w:pPr>
      <w:r>
        <w:rPr>
          <w:rFonts w:hint="eastAsia" w:ascii="宋体" w:hAnsi="宋体" w:eastAsia="宋体"/>
          <w:b/>
          <w:bCs/>
          <w:color w:val="auto"/>
          <w:sz w:val="24"/>
          <w:lang w:val="en-US" w:eastAsia="zh-CN"/>
        </w:rPr>
        <w:t>五</w:t>
      </w:r>
      <w:r>
        <w:rPr>
          <w:rFonts w:hint="eastAsia" w:ascii="宋体" w:hAnsi="宋体" w:eastAsia="宋体"/>
          <w:b/>
          <w:bCs/>
          <w:color w:val="auto"/>
          <w:sz w:val="24"/>
        </w:rPr>
        <w:t>、出让方式及交易</w:t>
      </w:r>
      <w:r>
        <w:rPr>
          <w:rFonts w:hint="eastAsia" w:ascii="宋体" w:hAnsi="宋体" w:eastAsia="宋体"/>
          <w:b/>
          <w:bCs/>
          <w:color w:val="auto"/>
          <w:sz w:val="24"/>
          <w:lang w:val="en-US" w:eastAsia="zh-CN"/>
        </w:rPr>
        <w:t>的</w:t>
      </w:r>
      <w:r>
        <w:rPr>
          <w:rFonts w:hint="eastAsia" w:ascii="宋体" w:hAnsi="宋体" w:eastAsia="宋体"/>
          <w:b/>
          <w:bCs/>
          <w:color w:val="auto"/>
          <w:sz w:val="24"/>
        </w:rPr>
        <w:t>时间、地点</w:t>
      </w:r>
    </w:p>
    <w:p>
      <w:pPr>
        <w:spacing w:line="340" w:lineRule="exact"/>
        <w:ind w:left="20" w:firstLine="500"/>
        <w:rPr>
          <w:rFonts w:ascii="宋体" w:hAnsi="宋体" w:eastAsia="宋体"/>
          <w:color w:val="auto"/>
          <w:sz w:val="24"/>
        </w:rPr>
      </w:pPr>
      <w:r>
        <w:rPr>
          <w:rFonts w:hint="eastAsia" w:ascii="宋体" w:hAnsi="宋体" w:eastAsia="宋体"/>
          <w:color w:val="auto"/>
          <w:sz w:val="24"/>
        </w:rPr>
        <w:t>出让方式：挂牌出让</w:t>
      </w:r>
    </w:p>
    <w:p>
      <w:pPr>
        <w:spacing w:line="340" w:lineRule="exact"/>
        <w:ind w:left="20" w:firstLine="500"/>
        <w:rPr>
          <w:rFonts w:ascii="宋体" w:hAnsi="宋体" w:eastAsia="宋体"/>
          <w:color w:val="auto"/>
          <w:sz w:val="24"/>
        </w:rPr>
      </w:pPr>
      <w:r>
        <w:rPr>
          <w:rFonts w:hint="eastAsia" w:ascii="宋体" w:hAnsi="宋体" w:eastAsia="宋体"/>
          <w:color w:val="auto"/>
          <w:sz w:val="24"/>
        </w:rPr>
        <w:t>公告时间：2023年</w:t>
      </w:r>
      <w:r>
        <w:rPr>
          <w:rFonts w:hint="eastAsia" w:ascii="宋体" w:hAnsi="宋体" w:eastAsia="宋体"/>
          <w:color w:val="auto"/>
          <w:sz w:val="24"/>
          <w:lang w:val="en-US" w:eastAsia="zh-CN"/>
        </w:rPr>
        <w:t>6</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日09时-2023年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日18时</w:t>
      </w:r>
    </w:p>
    <w:p>
      <w:pPr>
        <w:spacing w:line="340" w:lineRule="exact"/>
        <w:ind w:left="20" w:firstLine="500"/>
        <w:rPr>
          <w:rFonts w:ascii="宋体" w:hAnsi="宋体" w:eastAsia="宋体"/>
          <w:color w:val="auto"/>
          <w:sz w:val="24"/>
        </w:rPr>
      </w:pPr>
      <w:r>
        <w:rPr>
          <w:rFonts w:hint="eastAsia" w:ascii="宋体" w:hAnsi="宋体" w:eastAsia="宋体"/>
          <w:color w:val="auto"/>
          <w:sz w:val="24"/>
          <w:lang w:val="en-US" w:eastAsia="zh-CN"/>
        </w:rPr>
        <w:t>挂牌</w:t>
      </w:r>
      <w:r>
        <w:rPr>
          <w:rFonts w:hint="eastAsia" w:ascii="宋体" w:hAnsi="宋体" w:eastAsia="宋体"/>
          <w:color w:val="auto"/>
          <w:sz w:val="24"/>
        </w:rPr>
        <w:t>时间：2023年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3</w:t>
      </w:r>
      <w:r>
        <w:rPr>
          <w:rFonts w:hint="eastAsia" w:ascii="宋体" w:hAnsi="宋体" w:eastAsia="宋体"/>
          <w:color w:val="auto"/>
          <w:sz w:val="24"/>
        </w:rPr>
        <w:t>日至2023年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14</w:t>
      </w:r>
      <w:r>
        <w:rPr>
          <w:rFonts w:hint="eastAsia" w:ascii="宋体" w:hAnsi="宋体" w:eastAsia="宋体"/>
          <w:color w:val="auto"/>
          <w:sz w:val="24"/>
        </w:rPr>
        <w:t>日18时</w:t>
      </w:r>
    </w:p>
    <w:p>
      <w:pPr>
        <w:spacing w:line="340" w:lineRule="exact"/>
        <w:ind w:left="20" w:firstLine="500"/>
        <w:rPr>
          <w:rFonts w:ascii="宋体" w:hAnsi="宋体" w:eastAsia="宋体"/>
          <w:color w:val="auto"/>
          <w:sz w:val="24"/>
        </w:rPr>
      </w:pPr>
      <w:r>
        <w:rPr>
          <w:rFonts w:hint="eastAsia" w:ascii="宋体" w:hAnsi="宋体" w:eastAsia="宋体"/>
          <w:color w:val="auto"/>
          <w:sz w:val="24"/>
        </w:rPr>
        <w:t>地点：重庆市合川区希尔安大道225号5楼</w:t>
      </w:r>
      <w:r>
        <w:rPr>
          <w:rFonts w:hint="eastAsia" w:ascii="宋体" w:hAnsi="宋体" w:eastAsia="宋体"/>
          <w:color w:val="auto"/>
          <w:sz w:val="24"/>
          <w:lang w:val="en-US" w:eastAsia="zh-CN"/>
        </w:rPr>
        <w:t>-</w:t>
      </w:r>
      <w:r>
        <w:rPr>
          <w:rFonts w:hint="eastAsia" w:ascii="宋体" w:hAnsi="宋体" w:eastAsia="宋体"/>
          <w:color w:val="auto"/>
          <w:sz w:val="24"/>
        </w:rPr>
        <w:t>重庆市合川区公共资源交易中心</w:t>
      </w:r>
    </w:p>
    <w:p>
      <w:pPr>
        <w:spacing w:line="340" w:lineRule="exact"/>
        <w:ind w:left="20" w:firstLine="500"/>
        <w:rPr>
          <w:rFonts w:ascii="宋体" w:hAnsi="宋体" w:eastAsia="宋体"/>
          <w:b/>
          <w:bCs/>
          <w:color w:val="auto"/>
          <w:sz w:val="24"/>
        </w:rPr>
      </w:pPr>
      <w:r>
        <w:rPr>
          <w:rFonts w:hint="eastAsia" w:ascii="宋体" w:hAnsi="宋体" w:eastAsia="宋体"/>
          <w:b/>
          <w:bCs/>
          <w:color w:val="auto"/>
          <w:sz w:val="24"/>
          <w:lang w:val="en-US" w:eastAsia="zh-CN"/>
        </w:rPr>
        <w:t>六</w:t>
      </w:r>
      <w:r>
        <w:rPr>
          <w:rFonts w:hint="eastAsia" w:ascii="宋体" w:hAnsi="宋体" w:eastAsia="宋体"/>
          <w:b/>
          <w:bCs/>
          <w:color w:val="auto"/>
          <w:sz w:val="24"/>
        </w:rPr>
        <w:t>、获取</w:t>
      </w:r>
      <w:r>
        <w:rPr>
          <w:rFonts w:hint="eastAsia" w:ascii="宋体" w:hAnsi="宋体" w:eastAsia="宋体"/>
          <w:b/>
          <w:bCs/>
          <w:color w:val="auto"/>
          <w:sz w:val="24"/>
          <w:lang w:val="en-US" w:eastAsia="zh-CN"/>
        </w:rPr>
        <w:t>竞买文件的</w:t>
      </w:r>
      <w:r>
        <w:rPr>
          <w:rFonts w:hint="eastAsia" w:ascii="宋体" w:hAnsi="宋体" w:eastAsia="宋体"/>
          <w:b/>
          <w:bCs/>
          <w:color w:val="auto"/>
          <w:sz w:val="24"/>
        </w:rPr>
        <w:t>途径</w:t>
      </w:r>
      <w:r>
        <w:rPr>
          <w:rFonts w:hint="eastAsia" w:ascii="宋体" w:hAnsi="宋体" w:eastAsia="宋体"/>
          <w:b/>
          <w:bCs/>
          <w:color w:val="auto"/>
          <w:sz w:val="24"/>
          <w:lang w:val="en-US" w:eastAsia="zh-CN"/>
        </w:rPr>
        <w:t>和</w:t>
      </w:r>
      <w:r>
        <w:rPr>
          <w:rFonts w:hint="eastAsia" w:ascii="宋体" w:hAnsi="宋体" w:eastAsia="宋体"/>
          <w:b/>
          <w:bCs/>
          <w:color w:val="auto"/>
          <w:sz w:val="24"/>
        </w:rPr>
        <w:t>申请报名</w:t>
      </w:r>
      <w:r>
        <w:rPr>
          <w:rFonts w:hint="eastAsia" w:ascii="宋体" w:hAnsi="宋体" w:eastAsia="宋体"/>
          <w:b/>
          <w:bCs/>
          <w:color w:val="auto"/>
          <w:sz w:val="24"/>
          <w:lang w:val="en-US" w:eastAsia="zh-CN"/>
        </w:rPr>
        <w:t>的起止</w:t>
      </w:r>
      <w:r>
        <w:rPr>
          <w:rFonts w:hint="eastAsia" w:ascii="宋体" w:hAnsi="宋体" w:eastAsia="宋体"/>
          <w:b/>
          <w:bCs/>
          <w:color w:val="auto"/>
          <w:sz w:val="24"/>
        </w:rPr>
        <w:t>时间及方式</w:t>
      </w:r>
    </w:p>
    <w:p>
      <w:pPr>
        <w:spacing w:line="340" w:lineRule="exact"/>
        <w:ind w:left="20" w:firstLine="500"/>
        <w:rPr>
          <w:rFonts w:ascii="宋体" w:hAnsi="宋体" w:eastAsia="宋体"/>
          <w:color w:val="auto"/>
          <w:sz w:val="24"/>
        </w:rPr>
      </w:pPr>
      <w:r>
        <w:rPr>
          <w:rFonts w:hint="eastAsia" w:ascii="宋体" w:hAnsi="宋体" w:eastAsia="宋体"/>
          <w:color w:val="auto"/>
          <w:sz w:val="24"/>
          <w:lang w:eastAsia="zh-CN"/>
        </w:rPr>
        <w:t>（</w:t>
      </w:r>
      <w:r>
        <w:rPr>
          <w:rFonts w:hint="eastAsia" w:ascii="宋体" w:hAnsi="宋体" w:eastAsia="宋体"/>
          <w:color w:val="auto"/>
          <w:sz w:val="24"/>
          <w:lang w:val="en-US" w:eastAsia="zh-CN"/>
        </w:rPr>
        <w:t>一</w:t>
      </w:r>
      <w:r>
        <w:rPr>
          <w:rFonts w:hint="eastAsia" w:ascii="宋体" w:hAnsi="宋体" w:eastAsia="宋体"/>
          <w:color w:val="auto"/>
          <w:sz w:val="24"/>
          <w:lang w:eastAsia="zh-CN"/>
        </w:rPr>
        <w:t>）</w:t>
      </w:r>
      <w:r>
        <w:rPr>
          <w:rFonts w:hint="eastAsia" w:ascii="宋体" w:hAnsi="宋体" w:eastAsia="宋体"/>
          <w:color w:val="auto"/>
          <w:sz w:val="24"/>
          <w:lang w:val="en-US" w:eastAsia="zh-CN"/>
        </w:rPr>
        <w:t>申请人可在报名期限内到</w:t>
      </w:r>
      <w:r>
        <w:rPr>
          <w:rFonts w:hint="eastAsia" w:ascii="宋体" w:hAnsi="宋体" w:eastAsia="宋体"/>
          <w:color w:val="auto"/>
          <w:sz w:val="24"/>
          <w:szCs w:val="24"/>
          <w:lang w:val="en-US" w:eastAsia="zh-CN"/>
        </w:rPr>
        <w:t>重</w:t>
      </w:r>
      <w:r>
        <w:rPr>
          <w:rFonts w:hint="eastAsia" w:ascii="宋体" w:hAnsi="宋体" w:eastAsia="宋体"/>
          <w:color w:val="auto"/>
          <w:sz w:val="24"/>
          <w:szCs w:val="24"/>
        </w:rPr>
        <w:t>庆市合川区公共资源交易中心</w:t>
      </w:r>
      <w:r>
        <w:rPr>
          <w:rFonts w:hint="eastAsia" w:ascii="宋体" w:hAnsi="宋体" w:eastAsia="宋体"/>
          <w:color w:val="auto"/>
          <w:sz w:val="24"/>
          <w:szCs w:val="24"/>
          <w:lang w:val="en-US" w:eastAsia="zh-CN"/>
        </w:rPr>
        <w:t>领取出</w:t>
      </w:r>
      <w:r>
        <w:rPr>
          <w:rFonts w:hint="eastAsia" w:ascii="宋体" w:hAnsi="宋体" w:eastAsia="宋体"/>
          <w:color w:val="auto"/>
          <w:sz w:val="24"/>
        </w:rPr>
        <w:t>让</w:t>
      </w:r>
      <w:r>
        <w:rPr>
          <w:rFonts w:hint="eastAsia" w:ascii="宋体" w:hAnsi="宋体" w:eastAsia="宋体"/>
          <w:color w:val="auto"/>
          <w:sz w:val="24"/>
          <w:lang w:val="en-US" w:eastAsia="zh-CN"/>
        </w:rPr>
        <w:t>相关资料，也可在报名期限内登录</w:t>
      </w:r>
      <w:r>
        <w:rPr>
          <w:rFonts w:hint="eastAsia" w:ascii="宋体" w:hAnsi="宋体" w:eastAsia="宋体"/>
          <w:color w:val="auto"/>
          <w:sz w:val="24"/>
          <w:szCs w:val="24"/>
          <w:lang w:val="en-US" w:eastAsia="zh-CN"/>
        </w:rPr>
        <w:t>重</w:t>
      </w:r>
      <w:r>
        <w:rPr>
          <w:rFonts w:hint="eastAsia" w:ascii="宋体" w:hAnsi="宋体" w:eastAsia="宋体"/>
          <w:color w:val="auto"/>
          <w:sz w:val="24"/>
          <w:szCs w:val="24"/>
        </w:rPr>
        <w:t>庆市合川区公共资源交易中心</w:t>
      </w:r>
      <w:r>
        <w:rPr>
          <w:rFonts w:hint="eastAsia" w:ascii="宋体" w:hAnsi="宋体" w:eastAsia="宋体"/>
          <w:color w:val="auto"/>
          <w:sz w:val="24"/>
          <w:szCs w:val="24"/>
          <w:lang w:val="en-US" w:eastAsia="zh-CN"/>
        </w:rPr>
        <w:t>网址（</w:t>
      </w:r>
      <w:r>
        <w:rPr>
          <w:rFonts w:hint="eastAsia" w:ascii="宋体" w:hAnsi="宋体" w:eastAsia="宋体"/>
          <w:color w:val="auto"/>
          <w:sz w:val="24"/>
        </w:rPr>
        <w:t>https：//www.cqggzy.com／hechuanweb</w:t>
      </w:r>
      <w:r>
        <w:rPr>
          <w:rFonts w:hint="eastAsia" w:ascii="宋体" w:hAnsi="宋体" w:eastAsia="宋体"/>
          <w:color w:val="auto"/>
          <w:sz w:val="24"/>
          <w:szCs w:val="24"/>
          <w:lang w:val="en-US" w:eastAsia="zh-CN"/>
        </w:rPr>
        <w:t>），进入重庆市国有建设用地使用权和矿业权网上交易系统（https://td.cqggzy.com），查阅、下载出让资料。</w:t>
      </w:r>
    </w:p>
    <w:p>
      <w:pPr>
        <w:spacing w:line="340" w:lineRule="exact"/>
        <w:ind w:left="20" w:firstLine="500"/>
        <w:rPr>
          <w:rFonts w:ascii="宋体" w:hAnsi="宋体" w:eastAsia="宋体"/>
          <w:color w:val="auto"/>
          <w:sz w:val="24"/>
        </w:rPr>
      </w:pPr>
      <w:r>
        <w:rPr>
          <w:rFonts w:hint="eastAsia" w:ascii="宋体" w:hAnsi="宋体" w:eastAsia="宋体"/>
          <w:color w:val="auto"/>
          <w:sz w:val="24"/>
          <w:lang w:eastAsia="zh-CN"/>
        </w:rPr>
        <w:t>（</w:t>
      </w:r>
      <w:r>
        <w:rPr>
          <w:rFonts w:hint="eastAsia" w:ascii="宋体" w:hAnsi="宋体" w:eastAsia="宋体"/>
          <w:color w:val="auto"/>
          <w:sz w:val="24"/>
          <w:lang w:val="en-US" w:eastAsia="zh-CN"/>
        </w:rPr>
        <w:t>二</w:t>
      </w:r>
      <w:r>
        <w:rPr>
          <w:rFonts w:hint="eastAsia" w:ascii="宋体" w:hAnsi="宋体" w:eastAsia="宋体"/>
          <w:color w:val="auto"/>
          <w:sz w:val="24"/>
          <w:lang w:eastAsia="zh-CN"/>
        </w:rPr>
        <w:t>）</w:t>
      </w:r>
      <w:r>
        <w:rPr>
          <w:rFonts w:hint="eastAsia" w:ascii="宋体" w:hAnsi="宋体" w:eastAsia="宋体"/>
          <w:color w:val="auto"/>
          <w:sz w:val="24"/>
        </w:rPr>
        <w:t>报名时间：2023年</w:t>
      </w:r>
      <w:r>
        <w:rPr>
          <w:rFonts w:hint="eastAsia" w:ascii="宋体" w:hAnsi="宋体" w:eastAsia="宋体"/>
          <w:color w:val="auto"/>
          <w:sz w:val="24"/>
          <w:lang w:val="en-US" w:eastAsia="zh-CN"/>
        </w:rPr>
        <w:t>6</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日09时-2023年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日18时；</w:t>
      </w:r>
    </w:p>
    <w:p>
      <w:pPr>
        <w:spacing w:line="340" w:lineRule="exact"/>
        <w:ind w:left="20" w:firstLine="500"/>
        <w:rPr>
          <w:rFonts w:hint="eastAsia" w:ascii="宋体" w:hAnsi="宋体" w:eastAsia="宋体"/>
          <w:color w:val="auto"/>
          <w:sz w:val="24"/>
          <w:lang w:val="en-US" w:eastAsia="zh-CN"/>
        </w:rPr>
      </w:pPr>
      <w:r>
        <w:rPr>
          <w:rFonts w:hint="eastAsia" w:ascii="宋体" w:hAnsi="宋体" w:eastAsia="宋体"/>
          <w:color w:val="auto"/>
          <w:sz w:val="24"/>
          <w:lang w:eastAsia="zh-CN"/>
        </w:rPr>
        <w:t>（</w:t>
      </w:r>
      <w:r>
        <w:rPr>
          <w:rFonts w:hint="eastAsia" w:ascii="宋体" w:hAnsi="宋体" w:eastAsia="宋体"/>
          <w:color w:val="auto"/>
          <w:sz w:val="24"/>
          <w:lang w:val="en-US" w:eastAsia="zh-CN"/>
        </w:rPr>
        <w:t>三</w:t>
      </w:r>
      <w:r>
        <w:rPr>
          <w:rFonts w:hint="eastAsia" w:ascii="宋体" w:hAnsi="宋体" w:eastAsia="宋体"/>
          <w:color w:val="auto"/>
          <w:sz w:val="24"/>
          <w:lang w:eastAsia="zh-CN"/>
        </w:rPr>
        <w:t>）</w:t>
      </w:r>
      <w:r>
        <w:rPr>
          <w:rFonts w:hint="eastAsia" w:ascii="宋体" w:hAnsi="宋体" w:eastAsia="宋体"/>
          <w:color w:val="auto"/>
          <w:sz w:val="24"/>
          <w:lang w:val="en-US" w:eastAsia="zh-CN"/>
        </w:rPr>
        <w:t>报名方式和程序</w:t>
      </w:r>
    </w:p>
    <w:p>
      <w:pPr>
        <w:spacing w:line="340" w:lineRule="exact"/>
        <w:ind w:left="20" w:firstLine="500"/>
        <w:rPr>
          <w:rFonts w:hint="eastAsia" w:ascii="宋体" w:hAnsi="宋体" w:eastAsia="宋体"/>
          <w:color w:val="auto"/>
          <w:sz w:val="24"/>
          <w:lang w:val="en-US" w:eastAsia="zh-CN"/>
        </w:rPr>
      </w:pPr>
      <w:r>
        <w:rPr>
          <w:rFonts w:hint="eastAsia" w:ascii="宋体" w:hAnsi="宋体" w:eastAsia="宋体"/>
          <w:color w:val="auto"/>
          <w:sz w:val="24"/>
          <w:lang w:val="en-US" w:eastAsia="zh-CN"/>
        </w:rPr>
        <w:t>本次公开出让的采矿权可采取现场报名或网上报名方式：</w:t>
      </w:r>
    </w:p>
    <w:p>
      <w:pPr>
        <w:spacing w:line="340" w:lineRule="exact"/>
        <w:ind w:left="20" w:firstLine="500"/>
        <w:rPr>
          <w:rFonts w:hint="eastAsia" w:ascii="宋体" w:hAnsi="宋体" w:eastAsia="宋体"/>
          <w:color w:val="auto"/>
          <w:sz w:val="24"/>
          <w:szCs w:val="24"/>
          <w:lang w:val="en-US" w:eastAsia="zh-CN"/>
        </w:rPr>
      </w:pPr>
      <w:r>
        <w:rPr>
          <w:rFonts w:hint="eastAsia" w:ascii="宋体" w:hAnsi="宋体" w:eastAsia="宋体"/>
          <w:color w:val="auto"/>
          <w:sz w:val="24"/>
          <w:lang w:val="en-US" w:eastAsia="zh-CN"/>
        </w:rPr>
        <w:t>现场报名：申请人可于报名期限内足额交纳竞买保证金到指定账户，并持报名资料到</w:t>
      </w:r>
      <w:r>
        <w:rPr>
          <w:rFonts w:hint="eastAsia" w:ascii="宋体" w:hAnsi="宋体" w:eastAsia="宋体"/>
          <w:color w:val="auto"/>
          <w:sz w:val="24"/>
          <w:szCs w:val="24"/>
          <w:lang w:val="en-US" w:eastAsia="zh-CN"/>
        </w:rPr>
        <w:t>重</w:t>
      </w:r>
      <w:r>
        <w:rPr>
          <w:rFonts w:hint="eastAsia" w:ascii="宋体" w:hAnsi="宋体" w:eastAsia="宋体"/>
          <w:color w:val="auto"/>
          <w:sz w:val="24"/>
          <w:szCs w:val="24"/>
        </w:rPr>
        <w:t>庆市合川区公共资源交易中心</w:t>
      </w:r>
      <w:r>
        <w:rPr>
          <w:rFonts w:hint="eastAsia" w:ascii="宋体" w:hAnsi="宋体" w:eastAsia="宋体"/>
          <w:color w:val="auto"/>
          <w:sz w:val="24"/>
          <w:szCs w:val="24"/>
          <w:lang w:val="en-US" w:eastAsia="zh-CN"/>
        </w:rPr>
        <w:t>提交报名申请。</w:t>
      </w:r>
    </w:p>
    <w:p>
      <w:pPr>
        <w:spacing w:line="340" w:lineRule="exact"/>
        <w:ind w:left="20" w:firstLine="5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网上报名：申请人可于</w:t>
      </w:r>
      <w:r>
        <w:rPr>
          <w:rFonts w:hint="eastAsia" w:ascii="宋体" w:hAnsi="宋体" w:eastAsia="宋体"/>
          <w:color w:val="auto"/>
          <w:sz w:val="24"/>
          <w:lang w:val="en-US" w:eastAsia="zh-CN"/>
        </w:rPr>
        <w:t>报名期限内登录</w:t>
      </w:r>
      <w:r>
        <w:rPr>
          <w:rFonts w:hint="eastAsia" w:ascii="宋体" w:hAnsi="宋体" w:eastAsia="宋体"/>
          <w:color w:val="auto"/>
          <w:sz w:val="24"/>
          <w:szCs w:val="24"/>
          <w:lang w:val="en-US" w:eastAsia="zh-CN"/>
        </w:rPr>
        <w:t>重庆市国有建设用地使用权和矿业权网上交易系统，按规定提交竞买申请，在报名期限内足额交纳竞买保证金，提交报名资料电子档。</w:t>
      </w:r>
    </w:p>
    <w:p>
      <w:pPr>
        <w:spacing w:line="340" w:lineRule="exact"/>
        <w:ind w:left="20" w:firstLine="500"/>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（四）保证金的交纳详见《出让文件》</w:t>
      </w:r>
    </w:p>
    <w:p>
      <w:pPr>
        <w:spacing w:line="340" w:lineRule="exact"/>
        <w:ind w:left="20" w:firstLine="500"/>
        <w:rPr>
          <w:rFonts w:ascii="宋体" w:hAnsi="宋体" w:eastAsia="宋体"/>
          <w:b/>
          <w:bCs/>
          <w:color w:val="auto"/>
          <w:sz w:val="24"/>
        </w:rPr>
      </w:pPr>
      <w:r>
        <w:rPr>
          <w:rFonts w:hint="eastAsia" w:ascii="宋体" w:hAnsi="宋体" w:eastAsia="宋体"/>
          <w:b/>
          <w:bCs/>
          <w:color w:val="auto"/>
          <w:sz w:val="24"/>
          <w:lang w:val="en-US" w:eastAsia="zh-CN"/>
        </w:rPr>
        <w:t>七</w:t>
      </w:r>
      <w:r>
        <w:rPr>
          <w:rFonts w:hint="eastAsia" w:ascii="宋体" w:hAnsi="宋体" w:eastAsia="宋体"/>
          <w:b/>
          <w:bCs/>
          <w:color w:val="auto"/>
          <w:sz w:val="24"/>
        </w:rPr>
        <w:t>、确定竞得人</w:t>
      </w:r>
      <w:r>
        <w:rPr>
          <w:rFonts w:hint="eastAsia" w:ascii="宋体" w:hAnsi="宋体" w:eastAsia="宋体"/>
          <w:b/>
          <w:bCs/>
          <w:color w:val="auto"/>
          <w:sz w:val="24"/>
          <w:lang w:val="en-US" w:eastAsia="zh-CN"/>
        </w:rPr>
        <w:t>的标准和</w:t>
      </w:r>
      <w:r>
        <w:rPr>
          <w:rFonts w:hint="eastAsia" w:ascii="宋体" w:hAnsi="宋体" w:eastAsia="宋体"/>
          <w:b/>
          <w:bCs/>
          <w:color w:val="auto"/>
          <w:sz w:val="24"/>
        </w:rPr>
        <w:t>方法</w:t>
      </w:r>
    </w:p>
    <w:p>
      <w:pPr>
        <w:spacing w:line="340" w:lineRule="exact"/>
        <w:ind w:firstLine="500"/>
        <w:rPr>
          <w:rFonts w:ascii="宋体" w:hAnsi="宋体" w:eastAsia="宋体"/>
          <w:color w:val="auto"/>
          <w:sz w:val="24"/>
        </w:rPr>
      </w:pPr>
      <w:r>
        <w:rPr>
          <w:rFonts w:hint="eastAsia" w:ascii="宋体" w:hAnsi="宋体" w:eastAsia="宋体"/>
          <w:color w:val="auto"/>
          <w:sz w:val="24"/>
          <w:szCs w:val="24"/>
        </w:rPr>
        <w:t>本次挂牌出让</w:t>
      </w:r>
      <w:r>
        <w:rPr>
          <w:rFonts w:hint="eastAsia" w:ascii="宋体" w:hAnsi="宋体" w:eastAsia="宋体"/>
          <w:color w:val="auto"/>
          <w:sz w:val="24"/>
          <w:szCs w:val="24"/>
          <w:lang w:val="en-US" w:eastAsia="zh-CN"/>
        </w:rPr>
        <w:t>为无</w:t>
      </w:r>
      <w:r>
        <w:rPr>
          <w:rFonts w:hint="eastAsia" w:ascii="宋体" w:hAnsi="宋体" w:eastAsia="宋体"/>
          <w:color w:val="auto"/>
          <w:sz w:val="24"/>
          <w:szCs w:val="24"/>
        </w:rPr>
        <w:t>底价，</w:t>
      </w:r>
      <w:r>
        <w:rPr>
          <w:rFonts w:hint="eastAsia" w:ascii="宋体" w:hAnsi="宋体" w:eastAsia="宋体"/>
          <w:color w:val="auto"/>
          <w:sz w:val="24"/>
          <w:szCs w:val="24"/>
          <w:lang w:val="en-US" w:eastAsia="zh-CN"/>
        </w:rPr>
        <w:t>采用增价竞价的方式，按照价高者得原则确定</w:t>
      </w:r>
      <w:r>
        <w:rPr>
          <w:rFonts w:hint="eastAsia" w:ascii="宋体" w:hAnsi="宋体" w:eastAsia="宋体"/>
          <w:color w:val="auto"/>
          <w:sz w:val="24"/>
          <w:szCs w:val="24"/>
        </w:rPr>
        <w:t>竞</w:t>
      </w:r>
      <w:r>
        <w:rPr>
          <w:rFonts w:hint="eastAsia" w:ascii="宋体" w:hAnsi="宋体" w:eastAsia="宋体"/>
          <w:color w:val="auto"/>
          <w:sz w:val="24"/>
          <w:szCs w:val="24"/>
          <w:lang w:val="en-US" w:eastAsia="zh-CN"/>
        </w:rPr>
        <w:t>得人。挂牌成交后的</w:t>
      </w:r>
      <w:r>
        <w:rPr>
          <w:rFonts w:hint="eastAsia" w:ascii="宋体" w:hAnsi="宋体" w:eastAsia="宋体"/>
          <w:color w:val="auto"/>
          <w:sz w:val="24"/>
          <w:szCs w:val="24"/>
        </w:rPr>
        <w:t>竞得人</w:t>
      </w:r>
      <w:r>
        <w:rPr>
          <w:rFonts w:hint="eastAsia" w:ascii="宋体" w:hAnsi="宋体" w:eastAsia="宋体"/>
          <w:color w:val="auto"/>
          <w:sz w:val="24"/>
          <w:szCs w:val="24"/>
          <w:lang w:val="en-US" w:eastAsia="zh-CN"/>
        </w:rPr>
        <w:t>按规定即时签订《成交确认书》，成交结果在相关网站公示10个工作日</w:t>
      </w:r>
      <w:r>
        <w:rPr>
          <w:rFonts w:hint="eastAsia" w:ascii="宋体" w:hAnsi="宋体" w:eastAsia="宋体"/>
          <w:color w:val="auto"/>
          <w:sz w:val="24"/>
          <w:szCs w:val="24"/>
        </w:rPr>
        <w:t>。</w:t>
      </w:r>
    </w:p>
    <w:p>
      <w:pPr>
        <w:spacing w:line="340" w:lineRule="exact"/>
        <w:ind w:left="20" w:firstLine="500"/>
        <w:rPr>
          <w:rFonts w:hint="eastAsia" w:ascii="宋体" w:hAnsi="宋体" w:eastAsia="宋体"/>
          <w:b/>
          <w:bCs/>
          <w:color w:val="auto"/>
          <w:sz w:val="24"/>
          <w:lang w:val="en-US" w:eastAsia="zh-CN"/>
        </w:rPr>
      </w:pPr>
      <w:r>
        <w:rPr>
          <w:rFonts w:hint="eastAsia" w:ascii="宋体" w:hAnsi="宋体" w:eastAsia="宋体"/>
          <w:b/>
          <w:bCs/>
          <w:color w:val="auto"/>
          <w:sz w:val="24"/>
          <w:lang w:val="en-US" w:eastAsia="zh-CN"/>
        </w:rPr>
        <w:t>八、风险提示</w:t>
      </w:r>
    </w:p>
    <w:p>
      <w:pPr>
        <w:spacing w:line="340" w:lineRule="exact"/>
        <w:ind w:firstLine="500"/>
        <w:rPr>
          <w:rFonts w:hint="eastAsia" w:eastAsia="宋体"/>
          <w:color w:val="auto"/>
          <w:sz w:val="24"/>
          <w:szCs w:val="24"/>
          <w:lang w:eastAsia="zh-CN"/>
        </w:rPr>
      </w:pPr>
      <w:r>
        <w:rPr>
          <w:rFonts w:hint="eastAsia" w:ascii="宋体" w:hAnsi="宋体" w:eastAsia="宋体"/>
          <w:color w:val="auto"/>
          <w:sz w:val="24"/>
          <w:szCs w:val="24"/>
        </w:rPr>
        <w:t>（一）采矿权投资存在有不可预计的风险，包括</w:t>
      </w:r>
      <w:r>
        <w:rPr>
          <w:rFonts w:hint="eastAsia" w:ascii="宋体" w:hAnsi="宋体" w:eastAsia="宋体"/>
          <w:color w:val="auto"/>
          <w:sz w:val="24"/>
          <w:szCs w:val="24"/>
          <w:lang w:val="en-US" w:eastAsia="zh-CN"/>
        </w:rPr>
        <w:t>出让文件所</w:t>
      </w:r>
      <w:r>
        <w:rPr>
          <w:rFonts w:hint="eastAsia" w:ascii="宋体" w:hAnsi="宋体" w:eastAsia="宋体"/>
          <w:color w:val="auto"/>
          <w:sz w:val="24"/>
          <w:szCs w:val="24"/>
        </w:rPr>
        <w:t>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rPr>
        <w:t>已完全认可并自愿承担所有风险</w:t>
      </w:r>
      <w:r>
        <w:rPr>
          <w:rFonts w:hint="eastAsia" w:ascii="宋体" w:hAnsi="宋体" w:eastAsia="宋体"/>
          <w:color w:val="auto"/>
          <w:sz w:val="24"/>
          <w:szCs w:val="24"/>
          <w:lang w:eastAsia="zh-CN"/>
        </w:rPr>
        <w:t>；</w:t>
      </w:r>
    </w:p>
    <w:p>
      <w:pPr>
        <w:spacing w:line="34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（二）有关涉及该宗采矿权的用地、用水、用电、公路、环保、基础设施等工作，由竞得人自行负责解决并依法完善相关手续</w:t>
      </w:r>
      <w:r>
        <w:rPr>
          <w:rFonts w:hint="eastAsia" w:ascii="宋体" w:hAnsi="宋体" w:eastAsia="宋体"/>
          <w:color w:val="auto"/>
          <w:sz w:val="24"/>
          <w:szCs w:val="24"/>
          <w:lang w:eastAsia="zh-CN"/>
        </w:rPr>
        <w:t>；</w:t>
      </w:r>
    </w:p>
    <w:p>
      <w:pPr>
        <w:spacing w:line="340" w:lineRule="exact"/>
        <w:ind w:firstLine="500"/>
        <w:rPr>
          <w:rFonts w:hint="eastAsia" w:ascii="宋体" w:hAnsi="宋体" w:eastAsia="宋体"/>
          <w:color w:val="auto"/>
          <w:sz w:val="24"/>
          <w:szCs w:val="24"/>
          <w:lang w:eastAsia="zh-CN"/>
        </w:rPr>
      </w:pPr>
      <w:r>
        <w:rPr>
          <w:rFonts w:hint="eastAsia" w:ascii="宋体" w:hAnsi="宋体" w:eastAsia="宋体"/>
          <w:color w:val="auto"/>
          <w:sz w:val="24"/>
          <w:szCs w:val="24"/>
        </w:rPr>
        <w:t>（三）若竞得人竞得该宗采矿权后，在办理采矿登记</w:t>
      </w:r>
      <w:r>
        <w:rPr>
          <w:rFonts w:hint="eastAsia" w:ascii="宋体" w:hAnsi="宋体" w:eastAsia="宋体"/>
          <w:color w:val="auto"/>
          <w:sz w:val="24"/>
          <w:szCs w:val="24"/>
          <w:lang w:val="en-US" w:eastAsia="zh-CN"/>
        </w:rPr>
        <w:t>前进行</w:t>
      </w:r>
      <w:r>
        <w:rPr>
          <w:rFonts w:hint="eastAsia" w:ascii="宋体" w:hAnsi="宋体" w:eastAsia="宋体"/>
          <w:color w:val="auto"/>
          <w:sz w:val="24"/>
          <w:szCs w:val="24"/>
        </w:rPr>
        <w:t>安全、环境评价等认定为不适宜开采的，该宗采矿权按不成交处理</w:t>
      </w:r>
      <w:r>
        <w:rPr>
          <w:rFonts w:hint="eastAsia" w:ascii="宋体" w:hAnsi="宋体" w:eastAsia="宋体"/>
          <w:color w:val="auto"/>
          <w:sz w:val="24"/>
          <w:szCs w:val="24"/>
          <w:lang w:eastAsia="zh-CN"/>
        </w:rPr>
        <w:t>；</w:t>
      </w:r>
    </w:p>
    <w:p>
      <w:pPr>
        <w:spacing w:line="340" w:lineRule="exact"/>
        <w:ind w:firstLine="500"/>
        <w:rPr>
          <w:color w:val="auto"/>
        </w:rPr>
      </w:pPr>
      <w:r>
        <w:rPr>
          <w:rFonts w:hint="eastAsia" w:ascii="宋体" w:hAnsi="宋体" w:eastAsia="宋体"/>
          <w:color w:val="auto"/>
          <w:sz w:val="24"/>
          <w:szCs w:val="24"/>
        </w:rPr>
        <w:t>（四）竞买申请人须认真详读</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rPr>
        <w:t>，现场踏勘并详细了解出让范围及周边土地、山权、林权、道路、地下管线、水电供给、废渣占地堆放、地表附着物、社群关系等影响资源开采的外部条件以及资产评估和其他权益补偿情况。提交竞买申请即视为竞买人对采矿权现状、</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rPr>
        <w:t>、采矿权出让合同内容、资产评估及其他权益补偿额已完全认可并自愿承担所有风险。</w:t>
      </w:r>
    </w:p>
    <w:p>
      <w:pPr>
        <w:spacing w:line="340" w:lineRule="exact"/>
        <w:ind w:left="20" w:firstLine="500"/>
        <w:rPr>
          <w:rFonts w:hint="eastAsia" w:ascii="宋体" w:hAnsi="宋体" w:eastAsia="宋体"/>
          <w:b/>
          <w:bCs/>
          <w:color w:val="auto"/>
          <w:sz w:val="24"/>
          <w:lang w:val="en-US" w:eastAsia="zh-CN"/>
        </w:rPr>
      </w:pPr>
      <w:r>
        <w:rPr>
          <w:rFonts w:hint="eastAsia" w:ascii="宋体" w:hAnsi="宋体" w:eastAsia="宋体"/>
          <w:b/>
          <w:bCs/>
          <w:color w:val="auto"/>
          <w:sz w:val="24"/>
          <w:lang w:val="en-US" w:eastAsia="zh-CN"/>
        </w:rPr>
        <w:t>九、对交易矿业权异议的处理方式</w:t>
      </w:r>
    </w:p>
    <w:p>
      <w:pPr>
        <w:spacing w:line="340" w:lineRule="exact"/>
        <w:ind w:firstLine="460"/>
        <w:rPr>
          <w:color w:val="auto"/>
          <w:sz w:val="24"/>
          <w:szCs w:val="24"/>
        </w:rPr>
      </w:pPr>
      <w:r>
        <w:rPr>
          <w:rFonts w:hint="eastAsia" w:ascii="宋体" w:hAnsi="宋体" w:eastAsia="宋体"/>
          <w:color w:val="auto"/>
          <w:sz w:val="24"/>
          <w:szCs w:val="24"/>
        </w:rPr>
        <w:t>对本次出让的采矿权存有异议的，应在公示期截止前以书面方式向重庆市合川区规划和自然资源局提出；对出让交易程序存有异议的，应在</w:t>
      </w:r>
      <w:r>
        <w:rPr>
          <w:rFonts w:hint="eastAsia" w:ascii="宋体" w:hAnsi="宋体" w:eastAsia="宋体"/>
          <w:color w:val="auto"/>
          <w:sz w:val="24"/>
          <w:szCs w:val="24"/>
          <w:lang w:val="en-US" w:eastAsia="zh-CN"/>
        </w:rPr>
        <w:t>结果公示</w:t>
      </w:r>
      <w:r>
        <w:rPr>
          <w:rFonts w:hint="eastAsia" w:ascii="宋体" w:hAnsi="宋体" w:eastAsia="宋体"/>
          <w:color w:val="auto"/>
          <w:sz w:val="24"/>
          <w:szCs w:val="24"/>
        </w:rPr>
        <w:t>期截止前以书面方式向重庆市合川区公共资源交易中心提出。根据所提异议的具体情况，按照《矿业权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rPr>
        <w:t>交易规则》等相关规定进行妥善处置。</w:t>
      </w:r>
    </w:p>
    <w:p>
      <w:pPr>
        <w:spacing w:line="340" w:lineRule="exact"/>
        <w:ind w:left="20" w:firstLine="500"/>
        <w:rPr>
          <w:rFonts w:hint="eastAsia" w:ascii="宋体" w:hAnsi="宋体" w:eastAsia="宋体"/>
          <w:b/>
          <w:bCs/>
          <w:color w:val="auto"/>
          <w:sz w:val="24"/>
          <w:lang w:val="en-US" w:eastAsia="zh-CN"/>
        </w:rPr>
      </w:pPr>
      <w:r>
        <w:rPr>
          <w:rFonts w:hint="eastAsia" w:ascii="宋体" w:hAnsi="宋体" w:eastAsia="宋体"/>
          <w:b/>
          <w:bCs/>
          <w:color w:val="auto"/>
          <w:sz w:val="24"/>
          <w:lang w:val="en-US" w:eastAsia="zh-CN"/>
        </w:rPr>
        <w:t>十、违约责任、公共资源交易领域失信联合惩戒相关提示</w:t>
      </w:r>
    </w:p>
    <w:p>
      <w:pPr>
        <w:spacing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line="360" w:lineRule="exact"/>
        <w:ind w:firstLine="480" w:firstLineChars="200"/>
        <w:rPr>
          <w:rFonts w:hint="eastAsia"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line="360" w:lineRule="exact"/>
        <w:ind w:firstLine="480" w:firstLineChars="200"/>
        <w:rPr>
          <w:rFonts w:hint="eastAsia" w:ascii="Times New Roman" w:hAnsi="Times New Roman" w:cs="Times New Roman"/>
          <w:color w:val="222222"/>
          <w:sz w:val="24"/>
          <w:szCs w:val="24"/>
          <w:lang w:eastAsia="zh-CN"/>
        </w:rPr>
      </w:pPr>
      <w:r>
        <w:rPr>
          <w:rFonts w:hint="eastAsia" w:ascii="Times New Roman" w:hAnsi="Times New Roman" w:cs="Times New Roman"/>
          <w:color w:val="222222"/>
          <w:sz w:val="24"/>
          <w:szCs w:val="24"/>
          <w:lang w:val="en-US" w:eastAsia="zh-CN"/>
        </w:rPr>
        <w:t>7.</w:t>
      </w:r>
      <w:r>
        <w:rPr>
          <w:rFonts w:hint="eastAsia" w:ascii="Times New Roman" w:hAnsi="Times New Roman" w:cs="Times New Roman"/>
          <w:color w:val="222222"/>
          <w:sz w:val="24"/>
          <w:szCs w:val="24"/>
          <w:lang w:eastAsia="zh-CN"/>
        </w:rPr>
        <w:t>竞买申请人或竞得人有其他违背法律法规、《</w:t>
      </w:r>
      <w:r>
        <w:rPr>
          <w:rFonts w:hint="eastAsia" w:ascii="Times New Roman" w:hAnsi="Times New Roman" w:cs="Times New Roman"/>
          <w:color w:val="222222"/>
          <w:sz w:val="24"/>
          <w:szCs w:val="24"/>
          <w:lang w:val="en-US" w:eastAsia="zh-CN"/>
        </w:rPr>
        <w:t>出让文件</w:t>
      </w:r>
      <w:r>
        <w:rPr>
          <w:rFonts w:hint="eastAsia" w:ascii="Times New Roman" w:hAnsi="Times New Roman" w:cs="Times New Roman"/>
          <w:color w:val="222222"/>
          <w:sz w:val="24"/>
          <w:szCs w:val="24"/>
          <w:lang w:eastAsia="zh-CN"/>
        </w:rPr>
        <w:t>》、《成交确认书》的规定的行为；</w:t>
      </w:r>
    </w:p>
    <w:p>
      <w:pPr>
        <w:spacing w:line="360" w:lineRule="exact"/>
        <w:ind w:firstLine="480" w:firstLineChars="200"/>
        <w:rPr>
          <w:rFonts w:hint="eastAsia" w:ascii="Times New Roman" w:hAnsi="Times New Roman" w:cs="Times New Roman"/>
          <w:color w:val="222222"/>
          <w:sz w:val="24"/>
          <w:szCs w:val="24"/>
        </w:rPr>
      </w:pPr>
      <w:r>
        <w:rPr>
          <w:rFonts w:hint="eastAsia" w:ascii="Times New Roman" w:hAnsi="Times New Roman" w:cs="Times New Roman"/>
          <w:color w:val="222222"/>
          <w:sz w:val="24"/>
          <w:szCs w:val="24"/>
          <w:lang w:val="en-US" w:eastAsia="zh-CN"/>
        </w:rPr>
        <w:t>8.</w:t>
      </w:r>
      <w:r>
        <w:rPr>
          <w:rFonts w:hint="eastAsia" w:ascii="Times New Roman" w:hAnsi="Times New Roman" w:cs="Times New Roman"/>
          <w:color w:val="222222"/>
          <w:sz w:val="24"/>
          <w:szCs w:val="24"/>
        </w:rPr>
        <w:t>竞得人未按本《采矿权</w:t>
      </w:r>
      <w:r>
        <w:rPr>
          <w:rFonts w:hint="eastAsia" w:ascii="Times New Roman" w:hAnsi="Times New Roman" w:cs="Times New Roman"/>
          <w:color w:val="222222"/>
          <w:sz w:val="24"/>
          <w:szCs w:val="24"/>
          <w:lang w:val="en-US" w:eastAsia="zh-CN"/>
        </w:rPr>
        <w:t>出让文件</w:t>
      </w:r>
      <w:r>
        <w:rPr>
          <w:rFonts w:hint="eastAsia" w:ascii="Times New Roman" w:hAnsi="Times New Roman" w:cs="Times New Roman"/>
          <w:color w:val="222222"/>
          <w:sz w:val="24"/>
          <w:szCs w:val="24"/>
        </w:rPr>
        <w:t>》，《采矿权出让成交确认书》的要求支付采矿权出让收益、其他补偿费用。</w:t>
      </w:r>
    </w:p>
    <w:p>
      <w:pPr>
        <w:spacing w:line="360" w:lineRule="exact"/>
        <w:ind w:firstLine="482" w:firstLineChars="200"/>
        <w:rPr>
          <w:rFonts w:hint="eastAsia" w:ascii="宋体" w:hAnsi="宋体" w:eastAsia="宋体"/>
          <w:b/>
          <w:bCs/>
          <w:color w:val="auto"/>
          <w:sz w:val="24"/>
          <w:lang w:val="en-US" w:eastAsia="zh-CN"/>
        </w:rPr>
      </w:pPr>
      <w:r>
        <w:rPr>
          <w:rFonts w:hint="eastAsia" w:ascii="宋体" w:hAnsi="宋体" w:eastAsia="宋体"/>
          <w:b/>
          <w:bCs/>
          <w:color w:val="auto"/>
          <w:sz w:val="24"/>
          <w:lang w:val="en-US" w:eastAsia="zh-CN"/>
        </w:rPr>
        <w:t>十一、其他重要提示及要求</w:t>
      </w:r>
    </w:p>
    <w:p>
      <w:pPr>
        <w:spacing w:line="340" w:lineRule="exact"/>
        <w:ind w:firstLine="46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一</w:t>
      </w:r>
      <w:r>
        <w:rPr>
          <w:rFonts w:hint="eastAsia" w:ascii="宋体" w:hAnsi="宋体" w:eastAsia="宋体"/>
          <w:color w:val="auto"/>
          <w:sz w:val="24"/>
          <w:szCs w:val="24"/>
          <w:lang w:eastAsia="zh-CN"/>
        </w:rPr>
        <w:t>）</w:t>
      </w:r>
      <w:r>
        <w:rPr>
          <w:rFonts w:hint="eastAsia" w:ascii="宋体" w:hAnsi="宋体" w:eastAsia="宋体"/>
          <w:color w:val="auto"/>
          <w:sz w:val="24"/>
          <w:szCs w:val="24"/>
        </w:rPr>
        <w:t>本次公告序号</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GC202304采矿权为合川区盐井街道观音村五社建筑用灰岩矿资源，出让资源量为624.4万吨（含边坡资源）。</w:t>
      </w:r>
    </w:p>
    <w:p>
      <w:pPr>
        <w:spacing w:line="340" w:lineRule="exact"/>
        <w:ind w:firstLine="46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二</w:t>
      </w:r>
      <w:r>
        <w:rPr>
          <w:rFonts w:hint="eastAsia" w:ascii="宋体" w:hAnsi="宋体" w:eastAsia="宋体"/>
          <w:color w:val="auto"/>
          <w:sz w:val="24"/>
          <w:szCs w:val="24"/>
          <w:lang w:eastAsia="zh-CN"/>
        </w:rPr>
        <w:t>）</w:t>
      </w:r>
      <w:r>
        <w:rPr>
          <w:rFonts w:hint="eastAsia" w:ascii="宋体" w:hAnsi="宋体" w:eastAsia="宋体"/>
          <w:color w:val="auto"/>
          <w:sz w:val="24"/>
          <w:szCs w:val="24"/>
        </w:rPr>
        <w:t>竞得人须自行或委托第三方编制矿山地质环境恢复治理和土地复垦方案并通过审查，同时按照《矿山地质环境保护规定》等相关规定履行矿山地质环境保护相关义务。</w:t>
      </w:r>
    </w:p>
    <w:p>
      <w:pPr>
        <w:spacing w:line="340" w:lineRule="exact"/>
        <w:ind w:firstLine="46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三</w:t>
      </w:r>
      <w:r>
        <w:rPr>
          <w:rFonts w:hint="eastAsia" w:ascii="宋体" w:hAnsi="宋体" w:eastAsia="宋体"/>
          <w:color w:val="auto"/>
          <w:sz w:val="24"/>
          <w:szCs w:val="24"/>
          <w:lang w:eastAsia="zh-CN"/>
        </w:rPr>
        <w:t>）</w:t>
      </w:r>
      <w:r>
        <w:rPr>
          <w:rFonts w:hint="eastAsia" w:ascii="宋体" w:hAnsi="宋体" w:eastAsia="宋体"/>
          <w:color w:val="auto"/>
          <w:sz w:val="24"/>
          <w:szCs w:val="24"/>
        </w:rPr>
        <w:t>原矿业权人的资产，已由重庆市合川区规划和自然资源局委托第三方进行了评估。采矿权人的机器设备、房屋建筑、构筑物及其他辅助设施、原材料（矿山资源）、土地租赁费用等资产评估价值为人民币4056.50万元，竞得人将原矿业权人资产按评估金额人民币</w:t>
      </w:r>
      <w:r>
        <w:rPr>
          <w:rFonts w:ascii="宋体" w:hAnsi="宋体" w:eastAsia="宋体"/>
          <w:color w:val="auto"/>
          <w:sz w:val="24"/>
          <w:szCs w:val="24"/>
        </w:rPr>
        <w:t>4056.50</w:t>
      </w:r>
      <w:r>
        <w:rPr>
          <w:rFonts w:hint="eastAsia" w:ascii="宋体" w:hAnsi="宋体" w:eastAsia="宋体"/>
          <w:color w:val="auto"/>
          <w:sz w:val="24"/>
          <w:szCs w:val="24"/>
        </w:rPr>
        <w:t>万元由竞得人</w:t>
      </w:r>
      <w:r>
        <w:rPr>
          <w:rFonts w:hint="eastAsia" w:ascii="宋体" w:hAnsi="宋体" w:eastAsia="宋体"/>
          <w:color w:val="auto"/>
          <w:sz w:val="24"/>
          <w:szCs w:val="24"/>
          <w:lang w:val="en-US" w:eastAsia="zh-CN"/>
        </w:rPr>
        <w:t>在签订《</w:t>
      </w:r>
      <w:r>
        <w:rPr>
          <w:rFonts w:hint="eastAsia" w:ascii="宋体" w:hAnsi="宋体" w:eastAsia="宋体"/>
          <w:color w:val="auto"/>
          <w:sz w:val="24"/>
          <w:szCs w:val="24"/>
        </w:rPr>
        <w:t>重庆市采矿权出</w:t>
      </w:r>
      <w:r>
        <w:rPr>
          <w:rFonts w:hint="eastAsia" w:ascii="宋体" w:hAnsi="宋体" w:eastAsia="宋体"/>
          <w:color w:val="auto"/>
          <w:sz w:val="24"/>
          <w:szCs w:val="24"/>
          <w:lang w:val="en-US" w:eastAsia="zh-CN"/>
        </w:rPr>
        <w:t>让</w:t>
      </w:r>
      <w:r>
        <w:rPr>
          <w:rFonts w:hint="eastAsia" w:ascii="宋体" w:hAnsi="宋体" w:eastAsia="宋体"/>
          <w:color w:val="auto"/>
          <w:sz w:val="24"/>
          <w:szCs w:val="24"/>
        </w:rPr>
        <w:t>合同</w:t>
      </w:r>
      <w:r>
        <w:rPr>
          <w:rFonts w:hint="eastAsia" w:ascii="宋体" w:hAnsi="宋体" w:eastAsia="宋体"/>
          <w:color w:val="auto"/>
          <w:sz w:val="24"/>
          <w:szCs w:val="24"/>
          <w:lang w:val="en-US" w:eastAsia="zh-CN"/>
        </w:rPr>
        <w:t>》前</w:t>
      </w:r>
      <w:r>
        <w:rPr>
          <w:rFonts w:hint="eastAsia" w:ascii="宋体" w:hAnsi="宋体" w:eastAsia="宋体"/>
          <w:color w:val="auto"/>
          <w:sz w:val="24"/>
          <w:szCs w:val="24"/>
        </w:rPr>
        <w:t>一次性支付给原矿业权人，</w:t>
      </w:r>
      <w:r>
        <w:rPr>
          <w:rFonts w:hint="eastAsia" w:ascii="宋体" w:hAnsi="宋体" w:eastAsia="宋体"/>
          <w:color w:val="auto"/>
          <w:sz w:val="24"/>
          <w:szCs w:val="24"/>
          <w:lang w:val="en-US" w:eastAsia="zh-CN"/>
        </w:rPr>
        <w:t>资产转移过程中的税费由竞得人承担，</w:t>
      </w:r>
      <w:r>
        <w:rPr>
          <w:rFonts w:hint="eastAsia" w:ascii="宋体" w:hAnsi="宋体" w:eastAsia="宋体"/>
          <w:color w:val="auto"/>
          <w:sz w:val="24"/>
          <w:szCs w:val="24"/>
        </w:rPr>
        <w:t>若原采矿权人竞得，则不支付资产评估价值；该宗采矿权前期技术报告等费用30.47万元</w:t>
      </w:r>
      <w:r>
        <w:rPr>
          <w:rFonts w:hint="eastAsia" w:ascii="宋体" w:hAnsi="宋体" w:eastAsia="宋体"/>
          <w:color w:val="auto"/>
          <w:sz w:val="24"/>
          <w:szCs w:val="24"/>
          <w:lang w:eastAsia="zh-CN"/>
        </w:rPr>
        <w:t>，</w:t>
      </w:r>
      <w:r>
        <w:rPr>
          <w:rFonts w:hint="eastAsia" w:ascii="宋体" w:hAnsi="宋体" w:eastAsia="宋体"/>
          <w:color w:val="auto"/>
          <w:sz w:val="24"/>
          <w:szCs w:val="24"/>
        </w:rPr>
        <w:t>由竞得人于《重庆市采矿权出</w:t>
      </w:r>
      <w:r>
        <w:rPr>
          <w:rFonts w:hint="eastAsia" w:ascii="宋体" w:hAnsi="宋体" w:eastAsia="宋体"/>
          <w:color w:val="auto"/>
          <w:sz w:val="24"/>
          <w:szCs w:val="24"/>
          <w:lang w:val="en-US" w:eastAsia="zh-CN"/>
        </w:rPr>
        <w:t>让</w:t>
      </w:r>
      <w:r>
        <w:rPr>
          <w:rFonts w:hint="eastAsia" w:ascii="宋体" w:hAnsi="宋体" w:eastAsia="宋体"/>
          <w:color w:val="auto"/>
          <w:sz w:val="24"/>
          <w:szCs w:val="24"/>
        </w:rPr>
        <w:t>合同》签订前支付至出让方指定账户（收款单位：重庆市合川城市建设投资（集团）有限公司，开户行：农行合川合阳支行，账号：31150401040009399），相关税费由竞得人自行承担，逾期未缴纳相关费用的</w:t>
      </w:r>
      <w:r>
        <w:rPr>
          <w:rFonts w:hint="eastAsia" w:ascii="宋体" w:hAnsi="宋体" w:eastAsia="宋体"/>
          <w:color w:val="auto"/>
          <w:sz w:val="24"/>
          <w:szCs w:val="24"/>
          <w:lang w:eastAsia="zh-CN"/>
        </w:rPr>
        <w:t>，</w:t>
      </w:r>
      <w:r>
        <w:rPr>
          <w:rFonts w:hint="eastAsia" w:ascii="宋体" w:hAnsi="宋体" w:eastAsia="宋体"/>
          <w:color w:val="auto"/>
          <w:sz w:val="24"/>
          <w:szCs w:val="24"/>
        </w:rPr>
        <w:t>视为竞得人自动放弃采矿权，不退还竞买保证金。</w:t>
      </w:r>
    </w:p>
    <w:p>
      <w:pPr>
        <w:spacing w:line="340" w:lineRule="exact"/>
        <w:ind w:firstLine="46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四</w:t>
      </w:r>
      <w:r>
        <w:rPr>
          <w:rFonts w:hint="eastAsia" w:ascii="宋体" w:hAnsi="宋体" w:eastAsia="宋体"/>
          <w:color w:val="auto"/>
          <w:sz w:val="24"/>
          <w:szCs w:val="24"/>
          <w:lang w:eastAsia="zh-CN"/>
        </w:rPr>
        <w:t>）</w:t>
      </w:r>
      <w:r>
        <w:rPr>
          <w:rFonts w:hint="eastAsia" w:ascii="宋体" w:hAnsi="宋体" w:eastAsia="宋体"/>
          <w:color w:val="auto"/>
          <w:sz w:val="24"/>
          <w:szCs w:val="24"/>
        </w:rPr>
        <w:t>该宗采矿权涉及的资产评估内容和价值，是为解决原矿权人之前投入，借贷资金等遗留问题，竞得人须在本轮采矿权出让期限内自行消化处置；本轮采矿权出让期限届满后采矿权由政府收回，下轮采矿权包装出让中不再对其矿业权人资产、前期投入等进行评估，且不再纳入采矿权前期包装出让成本中。</w:t>
      </w:r>
    </w:p>
    <w:p>
      <w:pPr>
        <w:spacing w:line="340" w:lineRule="exact"/>
        <w:ind w:firstLine="460"/>
        <w:rPr>
          <w:rFonts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lang w:eastAsia="zh-CN"/>
        </w:rPr>
        <w:t>）</w:t>
      </w:r>
      <w:r>
        <w:rPr>
          <w:rFonts w:hint="eastAsia" w:ascii="宋体" w:hAnsi="宋体" w:eastAsia="宋体"/>
          <w:color w:val="auto"/>
          <w:sz w:val="24"/>
          <w:szCs w:val="24"/>
        </w:rPr>
        <w:t>本次公告的</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GC202304采矿权，采取无底价出让</w:t>
      </w:r>
      <w:r>
        <w:rPr>
          <w:rFonts w:hint="eastAsia" w:ascii="宋体" w:hAnsi="宋体" w:eastAsia="宋体"/>
          <w:color w:val="auto"/>
          <w:sz w:val="24"/>
          <w:szCs w:val="24"/>
          <w:lang w:eastAsia="zh-CN"/>
        </w:rPr>
        <w:t>，</w:t>
      </w:r>
      <w:r>
        <w:rPr>
          <w:rFonts w:hint="eastAsia" w:ascii="宋体" w:hAnsi="宋体" w:eastAsia="宋体"/>
          <w:color w:val="auto"/>
          <w:sz w:val="24"/>
          <w:szCs w:val="24"/>
        </w:rPr>
        <w:t>竞得人的确定方式，按照《矿业权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rPr>
        <w:t>交易规则》（自然资规）</w:t>
      </w:r>
      <w:r>
        <w:rPr>
          <w:rFonts w:hint="eastAsia" w:ascii="宋体" w:hAnsi="宋体" w:eastAsia="宋体"/>
          <w:color w:val="auto"/>
          <w:sz w:val="24"/>
          <w:szCs w:val="24"/>
          <w:lang w:val="zh-CN"/>
        </w:rPr>
        <w:t>〔</w:t>
      </w:r>
      <w:r>
        <w:rPr>
          <w:rFonts w:hint="eastAsia" w:ascii="宋体" w:hAnsi="宋体" w:eastAsia="宋体"/>
          <w:color w:val="auto"/>
          <w:sz w:val="24"/>
          <w:szCs w:val="24"/>
        </w:rPr>
        <w:t>2023</w:t>
      </w:r>
      <w:r>
        <w:rPr>
          <w:rFonts w:hint="eastAsia" w:ascii="宋体" w:hAnsi="宋体" w:eastAsia="宋体"/>
          <w:color w:val="auto"/>
          <w:sz w:val="24"/>
          <w:szCs w:val="24"/>
          <w:lang w:val="zh-CN"/>
        </w:rPr>
        <w:t>〕</w:t>
      </w:r>
      <w:r>
        <w:rPr>
          <w:rFonts w:hint="eastAsia" w:ascii="宋体" w:hAnsi="宋体" w:eastAsia="宋体"/>
          <w:color w:val="auto"/>
          <w:sz w:val="24"/>
          <w:szCs w:val="24"/>
        </w:rPr>
        <w:t>1号）相关规定执行。</w:t>
      </w:r>
    </w:p>
    <w:p>
      <w:pPr>
        <w:spacing w:line="340" w:lineRule="exact"/>
        <w:ind w:firstLine="460"/>
        <w:rPr>
          <w:b/>
          <w:bCs/>
          <w:color w:val="auto"/>
        </w:rPr>
      </w:pPr>
      <w:r>
        <w:rPr>
          <w:rFonts w:hint="eastAsia"/>
          <w:b/>
          <w:bCs/>
          <w:color w:val="auto"/>
        </w:rPr>
        <w:t>十</w:t>
      </w:r>
      <w:r>
        <w:rPr>
          <w:rFonts w:hint="eastAsia"/>
          <w:b/>
          <w:bCs/>
          <w:color w:val="auto"/>
          <w:lang w:val="en-US" w:eastAsia="zh-CN"/>
        </w:rPr>
        <w:t>二</w:t>
      </w:r>
      <w:r>
        <w:rPr>
          <w:rFonts w:hint="eastAsia"/>
          <w:b/>
          <w:bCs/>
          <w:color w:val="auto"/>
        </w:rPr>
        <w:t>、竞买保证金缴纳</w:t>
      </w:r>
    </w:p>
    <w:p>
      <w:pPr>
        <w:spacing w:line="340" w:lineRule="exact"/>
        <w:ind w:firstLine="460"/>
        <w:rPr>
          <w:rFonts w:ascii="宋体" w:hAnsi="宋体" w:eastAsia="宋体"/>
          <w:color w:val="auto"/>
          <w:sz w:val="24"/>
          <w:szCs w:val="24"/>
        </w:rPr>
      </w:pPr>
      <w:r>
        <w:rPr>
          <w:rFonts w:hint="eastAsia" w:ascii="宋体" w:hAnsi="宋体" w:eastAsia="宋体"/>
          <w:color w:val="auto"/>
          <w:sz w:val="24"/>
          <w:szCs w:val="24"/>
        </w:rPr>
        <w:t>竞买保证金到账截止时间为：2023年</w:t>
      </w:r>
      <w:r>
        <w:rPr>
          <w:rFonts w:hint="eastAsia" w:ascii="宋体" w:hAnsi="宋体" w:eastAsia="宋体"/>
          <w:color w:val="auto"/>
          <w:sz w:val="24"/>
          <w:szCs w:val="24"/>
          <w:lang w:val="en-US" w:eastAsia="zh-CN"/>
        </w:rPr>
        <w:t>7</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1</w:t>
      </w:r>
      <w:r>
        <w:rPr>
          <w:rFonts w:hint="eastAsia" w:ascii="宋体" w:hAnsi="宋体" w:eastAsia="宋体"/>
          <w:color w:val="auto"/>
          <w:sz w:val="24"/>
          <w:szCs w:val="24"/>
        </w:rPr>
        <w:t>日16时。保证金户名：重庆市合川区公共资源交易中心，开户行：中国工商银行合川南城支行，账号：3100095329100080024。</w:t>
      </w:r>
    </w:p>
    <w:p>
      <w:pPr>
        <w:spacing w:line="340" w:lineRule="exact"/>
        <w:ind w:firstLine="460"/>
        <w:rPr>
          <w:rFonts w:ascii="宋体" w:hAnsi="宋体" w:eastAsia="宋体"/>
          <w:color w:val="auto"/>
          <w:sz w:val="22"/>
        </w:rPr>
      </w:pPr>
      <w:r>
        <w:rPr>
          <w:rFonts w:hint="eastAsia" w:ascii="宋体" w:hAnsi="宋体" w:eastAsia="宋体"/>
          <w:color w:val="auto"/>
          <w:sz w:val="24"/>
          <w:szCs w:val="24"/>
        </w:rPr>
        <w:t>如成功竞得，已缴纳的保证金可抵作采矿权出让收益，由竞得人委托重庆市合川区公共资源交易中心支付至财政非税收入专户</w:t>
      </w:r>
      <w:r>
        <w:rPr>
          <w:rFonts w:hint="eastAsia" w:ascii="宋体" w:hAnsi="宋体" w:eastAsia="宋体"/>
          <w:color w:val="auto"/>
          <w:sz w:val="24"/>
          <w:szCs w:val="24"/>
          <w:lang w:eastAsia="zh-CN"/>
        </w:rPr>
        <w:t>，</w:t>
      </w:r>
      <w:r>
        <w:rPr>
          <w:rFonts w:hint="eastAsia" w:ascii="宋体" w:hAnsi="宋体" w:eastAsia="宋体"/>
          <w:color w:val="auto"/>
          <w:sz w:val="24"/>
          <w:szCs w:val="24"/>
        </w:rPr>
        <w:t>如未竞得，可在成交日之后1个工作日内办理退还手续，不计利息。</w:t>
      </w:r>
    </w:p>
    <w:p>
      <w:pPr>
        <w:numPr>
          <w:ilvl w:val="0"/>
          <w:numId w:val="0"/>
        </w:numPr>
        <w:spacing w:line="340" w:lineRule="exact"/>
        <w:ind w:firstLine="442" w:firstLineChars="200"/>
        <w:rPr>
          <w:rFonts w:ascii="宋体" w:hAnsi="宋体" w:eastAsia="宋体"/>
          <w:b/>
          <w:bCs/>
          <w:color w:val="auto"/>
          <w:sz w:val="22"/>
        </w:rPr>
      </w:pPr>
      <w:r>
        <w:rPr>
          <w:rFonts w:hint="eastAsia" w:ascii="宋体" w:hAnsi="宋体" w:eastAsia="宋体"/>
          <w:b/>
          <w:bCs/>
          <w:color w:val="auto"/>
          <w:sz w:val="22"/>
          <w:lang w:val="en-US" w:eastAsia="zh-CN"/>
        </w:rPr>
        <w:t>十三、</w:t>
      </w:r>
      <w:r>
        <w:rPr>
          <w:rFonts w:hint="eastAsia" w:ascii="宋体" w:hAnsi="宋体" w:eastAsia="宋体"/>
          <w:b/>
          <w:bCs/>
          <w:color w:val="auto"/>
          <w:sz w:val="22"/>
        </w:rPr>
        <w:t>采矿权出让收益缴纳方式</w:t>
      </w:r>
    </w:p>
    <w:p>
      <w:pPr>
        <w:spacing w:line="340" w:lineRule="exact"/>
        <w:ind w:firstLine="460"/>
        <w:rPr>
          <w:rFonts w:ascii="宋体" w:hAnsi="宋体" w:eastAsia="宋体"/>
          <w:color w:val="auto"/>
          <w:sz w:val="24"/>
          <w:szCs w:val="24"/>
        </w:rPr>
      </w:pPr>
      <w:r>
        <w:rPr>
          <w:rFonts w:hint="eastAsia" w:ascii="宋体" w:hAnsi="宋体" w:eastAsia="宋体"/>
          <w:color w:val="auto"/>
          <w:sz w:val="24"/>
          <w:szCs w:val="24"/>
        </w:rPr>
        <w:t>详见《</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rPr>
        <w:t>》。</w:t>
      </w:r>
    </w:p>
    <w:p>
      <w:pPr>
        <w:spacing w:line="340" w:lineRule="exact"/>
        <w:ind w:left="20" w:firstLine="520"/>
        <w:rPr>
          <w:rFonts w:ascii="宋体" w:hAnsi="宋体" w:eastAsia="宋体"/>
          <w:color w:val="auto"/>
          <w:sz w:val="24"/>
        </w:rPr>
      </w:pPr>
    </w:p>
    <w:p>
      <w:pPr>
        <w:spacing w:line="340" w:lineRule="exact"/>
        <w:ind w:left="20" w:firstLine="520"/>
        <w:rPr>
          <w:rFonts w:ascii="宋体" w:hAnsi="宋体" w:eastAsia="宋体"/>
          <w:color w:val="auto"/>
          <w:sz w:val="24"/>
        </w:rPr>
      </w:pPr>
    </w:p>
    <w:p>
      <w:pPr>
        <w:spacing w:line="340" w:lineRule="exact"/>
        <w:ind w:left="20" w:firstLine="520"/>
        <w:rPr>
          <w:rFonts w:ascii="宋体" w:hAnsi="宋体" w:eastAsia="宋体"/>
          <w:color w:val="auto"/>
          <w:sz w:val="24"/>
        </w:rPr>
      </w:pPr>
    </w:p>
    <w:p>
      <w:pPr>
        <w:spacing w:line="340" w:lineRule="exact"/>
        <w:ind w:left="21" w:leftChars="10" w:firstLine="9636" w:firstLineChars="4015"/>
        <w:rPr>
          <w:rFonts w:ascii="宋体" w:hAnsi="宋体" w:eastAsia="宋体"/>
          <w:color w:val="auto"/>
          <w:sz w:val="24"/>
        </w:rPr>
      </w:pPr>
      <w:r>
        <w:rPr>
          <w:rFonts w:hint="eastAsia" w:ascii="宋体" w:hAnsi="宋体" w:eastAsia="宋体"/>
          <w:color w:val="auto"/>
          <w:sz w:val="24"/>
        </w:rPr>
        <w:t>重庆市合川区规划和自然资源局</w:t>
      </w:r>
    </w:p>
    <w:p>
      <w:pPr>
        <w:spacing w:line="340" w:lineRule="exact"/>
        <w:ind w:left="20" w:firstLine="520"/>
        <w:rPr>
          <w:rFonts w:ascii="宋体" w:hAnsi="宋体" w:eastAsia="宋体"/>
          <w:color w:val="auto"/>
          <w:sz w:val="24"/>
        </w:rPr>
      </w:pPr>
    </w:p>
    <w:sectPr>
      <w:type w:val="continuous"/>
      <w:pgSz w:w="17080" w:h="11900" w:orient="landscape"/>
      <w:pgMar w:top="720" w:right="940" w:bottom="1440" w:left="840" w:header="0" w:footer="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BC8"/>
    <w:rsid w:val="00046697"/>
    <w:rsid w:val="00053056"/>
    <w:rsid w:val="000B3B37"/>
    <w:rsid w:val="000D6051"/>
    <w:rsid w:val="001156AE"/>
    <w:rsid w:val="00132D40"/>
    <w:rsid w:val="001C227E"/>
    <w:rsid w:val="0020012A"/>
    <w:rsid w:val="00203300"/>
    <w:rsid w:val="00221FBC"/>
    <w:rsid w:val="002F232C"/>
    <w:rsid w:val="002F2FFD"/>
    <w:rsid w:val="003057C6"/>
    <w:rsid w:val="00323C16"/>
    <w:rsid w:val="00344B44"/>
    <w:rsid w:val="00484907"/>
    <w:rsid w:val="00486342"/>
    <w:rsid w:val="004A4A43"/>
    <w:rsid w:val="004A54A5"/>
    <w:rsid w:val="004C786A"/>
    <w:rsid w:val="00542639"/>
    <w:rsid w:val="005928D5"/>
    <w:rsid w:val="006176E6"/>
    <w:rsid w:val="00634175"/>
    <w:rsid w:val="00672472"/>
    <w:rsid w:val="0069349A"/>
    <w:rsid w:val="00874099"/>
    <w:rsid w:val="008C5D55"/>
    <w:rsid w:val="008E0060"/>
    <w:rsid w:val="0092028B"/>
    <w:rsid w:val="009A661C"/>
    <w:rsid w:val="009F0BE0"/>
    <w:rsid w:val="00A3760A"/>
    <w:rsid w:val="00A911C9"/>
    <w:rsid w:val="00AA2B64"/>
    <w:rsid w:val="00AC7128"/>
    <w:rsid w:val="00AE6F18"/>
    <w:rsid w:val="00BA6D97"/>
    <w:rsid w:val="00BB6D46"/>
    <w:rsid w:val="00BD0BC8"/>
    <w:rsid w:val="00BD524F"/>
    <w:rsid w:val="00C5180F"/>
    <w:rsid w:val="00C84A32"/>
    <w:rsid w:val="00C85FAE"/>
    <w:rsid w:val="00C96B87"/>
    <w:rsid w:val="00CD2DF8"/>
    <w:rsid w:val="00CD65AB"/>
    <w:rsid w:val="00D62F28"/>
    <w:rsid w:val="00D77A30"/>
    <w:rsid w:val="00DA26A5"/>
    <w:rsid w:val="00DF434B"/>
    <w:rsid w:val="00E161C7"/>
    <w:rsid w:val="00E5066F"/>
    <w:rsid w:val="00EA13A2"/>
    <w:rsid w:val="00FF3648"/>
    <w:rsid w:val="01EF43BB"/>
    <w:rsid w:val="05BC5ACC"/>
    <w:rsid w:val="09C86ED4"/>
    <w:rsid w:val="17307FD4"/>
    <w:rsid w:val="186C5605"/>
    <w:rsid w:val="198B64F6"/>
    <w:rsid w:val="1A1B09B2"/>
    <w:rsid w:val="1B0D6838"/>
    <w:rsid w:val="1EE92790"/>
    <w:rsid w:val="1FA46DF0"/>
    <w:rsid w:val="249E5811"/>
    <w:rsid w:val="28C506F6"/>
    <w:rsid w:val="2DA9432C"/>
    <w:rsid w:val="2DF54A07"/>
    <w:rsid w:val="2E79424B"/>
    <w:rsid w:val="36F51074"/>
    <w:rsid w:val="38321A3E"/>
    <w:rsid w:val="3AF328C6"/>
    <w:rsid w:val="3BE467DE"/>
    <w:rsid w:val="3DCD52FA"/>
    <w:rsid w:val="3EF1649B"/>
    <w:rsid w:val="408731EC"/>
    <w:rsid w:val="4A004736"/>
    <w:rsid w:val="4A512547"/>
    <w:rsid w:val="4F5E38C5"/>
    <w:rsid w:val="4FF303DF"/>
    <w:rsid w:val="52770469"/>
    <w:rsid w:val="550D67D8"/>
    <w:rsid w:val="5568412C"/>
    <w:rsid w:val="602D76D9"/>
    <w:rsid w:val="63F266E5"/>
    <w:rsid w:val="66A64C63"/>
    <w:rsid w:val="6A252FEE"/>
    <w:rsid w:val="6ECD23A7"/>
    <w:rsid w:val="6ED60590"/>
    <w:rsid w:val="71B61B1C"/>
    <w:rsid w:val="75947979"/>
    <w:rsid w:val="7BE66516"/>
    <w:rsid w:val="7BF26700"/>
    <w:rsid w:val="7F5F5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461</Words>
  <Characters>2634</Characters>
  <Lines>21</Lines>
  <Paragraphs>6</Paragraphs>
  <TotalTime>24</TotalTime>
  <ScaleCrop>false</ScaleCrop>
  <LinksUpToDate>false</LinksUpToDate>
  <CharactersWithSpaces>3089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2023-02-01T09:10:00Z</dcterms:created>
  <dc:creator>INTSIG</dc:creator>
  <dc:description>Intsig Word Converter</dc:description>
  <cp:lastModifiedBy>赵国华</cp:lastModifiedBy>
  <cp:lastPrinted>2023-05-26T02:11:00Z</cp:lastPrinted>
  <dcterms:modified xsi:type="dcterms:W3CDTF">2023-06-01T01:41:57Z</dcterms:modified>
  <dc:title>wordbuilder</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84A10B3C6C374E8D81F0866773EA8386</vt:lpwstr>
  </property>
</Properties>
</file>