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ascii="Times New Roman" w:hAnsi="Times New Roman" w:eastAsia="楷体_GB2312" w:cs="Times New Roman"/>
          <w:sz w:val="32"/>
          <w:szCs w:val="24"/>
        </w:rPr>
      </w:pPr>
      <w:r>
        <w:rPr>
          <w:rFonts w:hint="eastAsia" w:ascii="Times New Roman" w:hAnsi="Times New Roman" w:eastAsia="楷体_GB2312" w:cs="Times New Roman"/>
          <w:sz w:val="32"/>
          <w:szCs w:val="24"/>
        </w:rPr>
        <w:t>渝采矿出字〔2023〕（合川）第</w:t>
      </w:r>
      <w:r>
        <w:rPr>
          <w:rFonts w:ascii="Times New Roman" w:hAnsi="Times New Roman" w:eastAsia="楷体_GB2312" w:cs="Times New Roman"/>
          <w:sz w:val="32"/>
          <w:szCs w:val="24"/>
        </w:rPr>
        <w:t xml:space="preserve">  </w:t>
      </w:r>
      <w:r>
        <w:rPr>
          <w:rFonts w:hint="eastAsia" w:ascii="Times New Roman" w:hAnsi="Times New Roman" w:eastAsia="楷体_GB2312" w:cs="Times New Roman"/>
          <w:sz w:val="32"/>
          <w:szCs w:val="24"/>
        </w:rPr>
        <w:t>号</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bCs/>
          <w:sz w:val="32"/>
          <w:szCs w:val="32"/>
        </w:rPr>
        <w:t>重庆市合川区规划和自然资源局</w:t>
      </w:r>
    </w:p>
    <w:p>
      <w:pPr>
        <w:spacing w:line="560" w:lineRule="exact"/>
        <w:ind w:firstLine="632"/>
        <w:rPr>
          <w:rFonts w:ascii="Times New Roman" w:hAnsi="Times New Roman" w:eastAsia="仿宋_GB2312" w:cs="Times New Roman"/>
          <w:bCs/>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bCs/>
          <w:sz w:val="32"/>
          <w:szCs w:val="32"/>
        </w:rPr>
        <w:t xml:space="preserve">重庆市合川区希尔安大道490号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rPr>
        <w:t xml:space="preserve">赵鑫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bCs/>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bCs/>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spacing w:val="-6"/>
          <w:sz w:val="32"/>
          <w:szCs w:val="32"/>
        </w:rPr>
        <w:t xml:space="preserve">  受让方通过下列第</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1</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种方式取得</w:t>
      </w:r>
      <w:r>
        <w:rPr>
          <w:rFonts w:hint="eastAsia" w:ascii="Times New Roman" w:hAnsi="Times New Roman" w:eastAsia="仿宋_GB2312" w:cs="Times New Roman"/>
          <w:spacing w:val="-6"/>
          <w:sz w:val="32"/>
          <w:szCs w:val="32"/>
        </w:rPr>
        <w:t>本采矿权</w:t>
      </w:r>
      <w:r>
        <w:rPr>
          <w:rFonts w:ascii="Times New Roman" w:hAnsi="Times New Roman" w:eastAsia="仿宋_GB2312" w:cs="Times New Roman"/>
          <w:spacing w:val="-6"/>
          <w:sz w:val="32"/>
          <w:szCs w:val="32"/>
        </w:rPr>
        <w:t>：</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1、公开出让</w:t>
      </w:r>
    </w:p>
    <w:p>
      <w:pPr>
        <w:spacing w:line="540" w:lineRule="exact"/>
        <w:ind w:firstLine="608"/>
        <w:rPr>
          <w:rFonts w:ascii="Times New Roman" w:hAnsi="Times New Roman" w:eastAsia="仿宋_GB2312" w:cs="Times New Roman"/>
          <w:iCs/>
          <w:spacing w:val="-6"/>
          <w:sz w:val="32"/>
          <w:szCs w:val="32"/>
          <w:u w:val="single"/>
        </w:rPr>
      </w:pPr>
      <w:r>
        <w:rPr>
          <w:rFonts w:ascii="Times New Roman" w:hAnsi="Times New Roman" w:eastAsia="仿宋_GB2312" w:cs="Times New Roman"/>
          <w:iCs/>
          <w:spacing w:val="-6"/>
          <w:sz w:val="32"/>
          <w:szCs w:val="32"/>
        </w:rPr>
        <w:t>出让方式：</w:t>
      </w:r>
      <w:r>
        <w:rPr>
          <w:rFonts w:hint="eastAsia" w:ascii="Times New Roman" w:hAnsi="Times New Roman" w:eastAsia="仿宋_GB2312" w:cs="Times New Roman"/>
          <w:iCs/>
          <w:spacing w:val="-6"/>
          <w:sz w:val="32"/>
          <w:szCs w:val="32"/>
        </w:rPr>
        <w:t>挂牌</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矿业权交易机构：</w:t>
      </w:r>
      <w:r>
        <w:rPr>
          <w:rFonts w:hint="eastAsia" w:ascii="Times New Roman" w:hAnsi="Times New Roman" w:eastAsia="仿宋_GB2312" w:cs="Times New Roman"/>
          <w:iCs/>
          <w:spacing w:val="-6"/>
          <w:sz w:val="32"/>
          <w:szCs w:val="32"/>
        </w:rPr>
        <w:t>重庆市合川区公共资源交易中心</w:t>
      </w:r>
    </w:p>
    <w:p>
      <w:pPr>
        <w:spacing w:line="540" w:lineRule="exact"/>
        <w:ind w:firstLine="608"/>
        <w:rPr>
          <w:rFonts w:ascii="Times New Roman" w:hAnsi="Times New Roman" w:eastAsia="仿宋_GB2312" w:cs="Times New Roman"/>
          <w:iCs/>
          <w:spacing w:val="-6"/>
          <w:sz w:val="32"/>
          <w:szCs w:val="32"/>
          <w:u w:val="single"/>
        </w:rPr>
      </w:pPr>
      <w:r>
        <w:rPr>
          <w:rFonts w:ascii="Times New Roman" w:hAnsi="Times New Roman" w:eastAsia="仿宋_GB2312" w:cs="Times New Roman"/>
          <w:iCs/>
          <w:spacing w:val="-6"/>
          <w:sz w:val="32"/>
          <w:szCs w:val="32"/>
        </w:rPr>
        <w:t>交易机构法定代表人：</w:t>
      </w:r>
      <w:r>
        <w:rPr>
          <w:rFonts w:hint="eastAsia" w:ascii="Times New Roman" w:hAnsi="Times New Roman" w:eastAsia="仿宋_GB2312" w:cs="Times New Roman"/>
          <w:iCs/>
          <w:spacing w:val="-6"/>
          <w:sz w:val="32"/>
          <w:szCs w:val="32"/>
        </w:rPr>
        <w:t xml:space="preserve">段天明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交易地点：</w:t>
      </w:r>
      <w:r>
        <w:rPr>
          <w:rFonts w:hint="eastAsia" w:ascii="Times New Roman" w:hAnsi="Times New Roman" w:eastAsia="仿宋_GB2312" w:cs="Times New Roman"/>
          <w:iCs/>
          <w:spacing w:val="-6"/>
          <w:sz w:val="32"/>
          <w:szCs w:val="32"/>
        </w:rPr>
        <w:t>重庆市合川区</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2、探矿权转采矿权</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3、协议出让</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hint="eastAsia" w:ascii="Times New Roman" w:hAnsi="Times New Roman" w:eastAsia="仿宋_GB2312" w:cs="Times New Roman"/>
          <w:sz w:val="32"/>
          <w:szCs w:val="32"/>
          <w:u w:val="single"/>
        </w:rPr>
        <w:t>合川区双凤镇车山村五社</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宋体" w:hAnsi="宋体" w:eastAsia="宋体" w:cs="宋体"/>
          <w:kern w:val="0"/>
          <w:sz w:val="28"/>
          <w:szCs w:val="28"/>
        </w:rPr>
        <w:t>，</w:t>
      </w:r>
      <w:r>
        <w:rPr>
          <w:rFonts w:ascii="Times New Roman" w:hAnsi="Times New Roman" w:eastAsia="仿宋_GB2312" w:cs="Times New Roman"/>
          <w:spacing w:val="-6"/>
          <w:sz w:val="32"/>
          <w:szCs w:val="32"/>
        </w:rPr>
        <w:t>矿区面积</w:t>
      </w:r>
      <w:r>
        <w:rPr>
          <w:rFonts w:ascii="Times New Roman" w:hAnsi="Times New Roman" w:eastAsia="仿宋_GB2312" w:cs="Times New Roman"/>
          <w:spacing w:val="-6"/>
          <w:sz w:val="32"/>
          <w:szCs w:val="32"/>
          <w:u w:val="single"/>
        </w:rPr>
        <w:t xml:space="preserve"> 0.</w:t>
      </w:r>
      <w:r>
        <w:rPr>
          <w:rFonts w:hint="eastAsia" w:ascii="Times New Roman" w:hAnsi="Times New Roman" w:eastAsia="仿宋_GB2312" w:cs="Times New Roman"/>
          <w:spacing w:val="-6"/>
          <w:sz w:val="32"/>
          <w:szCs w:val="32"/>
          <w:u w:val="single"/>
        </w:rPr>
        <w:t>0309</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矿种为</w:t>
      </w:r>
      <w:r>
        <w:rPr>
          <w:rFonts w:hint="eastAsia" w:ascii="Times New Roman" w:hAnsi="Times New Roman" w:eastAsia="仿宋_GB2312" w:cs="Times New Roman"/>
          <w:sz w:val="32"/>
          <w:szCs w:val="32"/>
          <w:u w:val="single"/>
        </w:rPr>
        <w:t>水泥配料用砂岩</w:t>
      </w:r>
      <w:r>
        <w:rPr>
          <w:rFonts w:hint="eastAsia" w:ascii="Times New Roman" w:hAnsi="Times New Roman" w:eastAsia="仿宋_GB2312" w:cs="Times New Roman"/>
          <w:sz w:val="32"/>
          <w:szCs w:val="32"/>
        </w:rPr>
        <w:t>矿</w:t>
      </w:r>
      <w:r>
        <w:rPr>
          <w:rFonts w:ascii="Times New Roman" w:hAnsi="Times New Roman" w:eastAsia="仿宋_GB2312" w:cs="Times New Roman"/>
          <w:sz w:val="32"/>
          <w:szCs w:val="32"/>
        </w:rPr>
        <w:t>，资源储量</w:t>
      </w:r>
      <w:r>
        <w:rPr>
          <w:rFonts w:hint="eastAsia" w:ascii="Times New Roman" w:hAnsi="Times New Roman" w:eastAsia="仿宋_GB2312" w:cs="Times New Roman"/>
          <w:sz w:val="32"/>
          <w:szCs w:val="32"/>
          <w:u w:val="single"/>
        </w:rPr>
        <w:t>168.1</w:t>
      </w:r>
      <w:r>
        <w:rPr>
          <w:rFonts w:ascii="Times New Roman" w:hAnsi="Times New Roman" w:eastAsia="仿宋_GB2312" w:cs="Times New Roman"/>
          <w:sz w:val="32"/>
          <w:szCs w:val="32"/>
        </w:rPr>
        <w:t>万吨。矿区范围拐点坐标表</w:t>
      </w:r>
      <w:r>
        <w:rPr>
          <w:rFonts w:hint="eastAsia" w:ascii="Times New Roman" w:hAnsi="Times New Roman" w:eastAsia="仿宋_GB2312" w:cs="Times New Roman"/>
          <w:sz w:val="32"/>
          <w:szCs w:val="32"/>
        </w:rPr>
        <w:t>如下（2000坐标系）：</w:t>
      </w: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806"/>
        <w:gridCol w:w="1917"/>
        <w:gridCol w:w="850"/>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80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1</w:t>
            </w:r>
          </w:p>
        </w:tc>
        <w:tc>
          <w:tcPr>
            <w:tcW w:w="180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3320258.66</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35636678.23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4</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3320167.34</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35636900.97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2</w:t>
            </w:r>
          </w:p>
        </w:tc>
        <w:tc>
          <w:tcPr>
            <w:tcW w:w="180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3320081.58</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35636755.32</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5</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3320324.79</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35636762.65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w:t>
            </w:r>
          </w:p>
        </w:tc>
        <w:tc>
          <w:tcPr>
            <w:tcW w:w="180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3320081.16</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35636834.86</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03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标高：+400m~+300m</w:t>
            </w: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7.5</w:t>
      </w:r>
      <w:r>
        <w:rPr>
          <w:rFonts w:hint="eastAsia"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日起至</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元整</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hint="eastAsia"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u w:val="single"/>
        </w:rPr>
        <w:t xml:space="preserve"> 2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ascii="Times New Roman" w:hAnsi="Times New Roman" w:eastAsia="仿宋" w:cs="Times New Roman"/>
          <w:spacing w:val="-6"/>
          <w:sz w:val="32"/>
          <w:szCs w:val="32"/>
          <w:u w:val="single"/>
        </w:rPr>
        <w:t>7个工作</w:t>
      </w:r>
      <w:r>
        <w:rPr>
          <w:rFonts w:ascii="Times New Roman" w:hAnsi="Times New Roman" w:eastAsia="仿宋_GB2312" w:cs="Times New Roman"/>
          <w:spacing w:val="-6"/>
          <w:sz w:val="32"/>
          <w:szCs w:val="32"/>
          <w:u w:val="single"/>
        </w:rPr>
        <w:t>日</w:t>
      </w:r>
      <w:r>
        <w:rPr>
          <w:rFonts w:ascii="Times New Roman" w:hAnsi="Times New Roman" w:eastAsia="仿宋_GB2312" w:cs="Times New Roman"/>
          <w:spacing w:val="-6"/>
          <w:sz w:val="32"/>
          <w:szCs w:val="32"/>
        </w:rPr>
        <w:t>内，缴清采矿权出让收益人民币大写</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元整</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五</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期向出让方支付采矿权出让收益：</w:t>
      </w:r>
    </w:p>
    <w:p>
      <w:pPr>
        <w:spacing w:line="50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w:t>
      </w:r>
      <w:r>
        <w:rPr>
          <w:rFonts w:hint="eastAsia" w:ascii="Times New Roman" w:hAnsi="Times New Roman" w:eastAsia="仿宋_GB2312" w:cs="Times New Roman"/>
          <w:sz w:val="32"/>
          <w:szCs w:val="32"/>
        </w:rPr>
        <w:t>的</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rPr>
        <w:t>%，即</w:t>
      </w:r>
      <w:r>
        <w:rPr>
          <w:rFonts w:ascii="Times New Roman" w:hAnsi="Times New Roman" w:eastAsia="仿宋_GB2312" w:cs="Times New Roman"/>
          <w:sz w:val="32"/>
          <w:szCs w:val="32"/>
        </w:rPr>
        <w:t>人民币大写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p>
    <w:p>
      <w:pPr>
        <w:spacing w:line="500" w:lineRule="exact"/>
        <w:ind w:firstLine="636" w:firstLineChars="199"/>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于</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日前，第二次缴纳采矿权出让收益的</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rPr>
        <w:t>%，即人民币大写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w:t>
      </w:r>
    </w:p>
    <w:p>
      <w:pPr>
        <w:spacing w:line="500" w:lineRule="exact"/>
        <w:ind w:firstLine="636" w:firstLineChars="199"/>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于</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日前，第</w:t>
      </w: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rPr>
        <w:t>次缴纳采矿权出让收益的</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rPr>
        <w:t>%，即人民币大写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w:t>
      </w:r>
    </w:p>
    <w:p>
      <w:pPr>
        <w:spacing w:line="500" w:lineRule="exact"/>
        <w:ind w:firstLine="636" w:firstLineChars="199"/>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于</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日前，第</w:t>
      </w:r>
      <w:r>
        <w:rPr>
          <w:rFonts w:hint="eastAsia" w:ascii="Times New Roman" w:hAnsi="Times New Roman" w:eastAsia="仿宋_GB2312" w:cs="Times New Roman"/>
          <w:sz w:val="32"/>
          <w:szCs w:val="32"/>
          <w:lang w:val="en-US" w:eastAsia="zh-CN"/>
        </w:rPr>
        <w:t>四</w:t>
      </w:r>
      <w:r>
        <w:rPr>
          <w:rFonts w:hint="eastAsia" w:ascii="Times New Roman" w:hAnsi="Times New Roman" w:eastAsia="仿宋_GB2312" w:cs="Times New Roman"/>
          <w:sz w:val="32"/>
          <w:szCs w:val="32"/>
        </w:rPr>
        <w:t>次缴纳采矿权出让收益的</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rPr>
        <w:t>%，即人民币大写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w:t>
      </w:r>
    </w:p>
    <w:p>
      <w:pPr>
        <w:spacing w:line="500" w:lineRule="exact"/>
        <w:ind w:firstLine="636" w:firstLineChars="199"/>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于</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日前，第</w:t>
      </w:r>
      <w:r>
        <w:rPr>
          <w:rFonts w:hint="eastAsia" w:ascii="Times New Roman" w:hAnsi="Times New Roman" w:eastAsia="仿宋_GB2312" w:cs="Times New Roman"/>
          <w:sz w:val="32"/>
          <w:szCs w:val="32"/>
          <w:lang w:val="en-US" w:eastAsia="zh-CN"/>
        </w:rPr>
        <w:t>五</w:t>
      </w:r>
      <w:r>
        <w:rPr>
          <w:rFonts w:hint="eastAsia" w:ascii="Times New Roman" w:hAnsi="Times New Roman" w:eastAsia="仿宋_GB2312" w:cs="Times New Roman"/>
          <w:sz w:val="32"/>
          <w:szCs w:val="32"/>
        </w:rPr>
        <w:t>次缴纳采矿权出让收益的</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rPr>
        <w:t>%，即人民币大写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w:t>
      </w:r>
    </w:p>
    <w:p>
      <w:pPr>
        <w:numPr>
          <w:ilvl w:val="0"/>
          <w:numId w:val="1"/>
        </w:numPr>
        <w:spacing w:line="500" w:lineRule="exact"/>
        <w:ind w:firstLine="636" w:firstLineChars="19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受让方严格按约定的顺延年时间及金额向税务部门进行申报解缴采矿权出让收益，在解缴过程中若存在当期未缴清的，则从逾期之日起</w:t>
      </w:r>
      <w:bookmarkStart w:id="0" w:name="_GoBack"/>
      <w:bookmarkEnd w:id="0"/>
      <w:r>
        <w:rPr>
          <w:rFonts w:hint="eastAsia" w:ascii="Times New Roman" w:hAnsi="Times New Roman" w:eastAsia="仿宋_GB2312" w:cs="Times New Roman"/>
          <w:sz w:val="32"/>
          <w:szCs w:val="32"/>
          <w:lang w:val="en-US" w:eastAsia="zh-CN"/>
        </w:rPr>
        <w:t>每日按未缴金额的2‰向税务部门申报解缴滞纳金，随后缴入的款项先进行抵扣原未缴清的部分，有余款的可计入下期金额。</w:t>
      </w:r>
    </w:p>
    <w:p>
      <w:pPr>
        <w:numPr>
          <w:numId w:val="0"/>
        </w:numPr>
        <w:spacing w:line="50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w:t>
      </w:r>
      <w:r>
        <w:rPr>
          <w:rFonts w:hint="eastAsia" w:ascii="Times New Roman" w:hAnsi="Times New Roman" w:eastAsia="仿宋_GB2312" w:cs="Times New Roman"/>
          <w:spacing w:val="-6"/>
          <w:sz w:val="32"/>
          <w:szCs w:val="32"/>
        </w:rPr>
        <w:t>让方应自本合同签订之日起6个月内持本合同、采矿权出让收益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hint="eastAsia" w:ascii="Times New Roman" w:hAnsi="Times New Roman" w:eastAsia="仿宋_GB2312" w:cs="Times New Roman"/>
          <w:spacing w:val="-6"/>
          <w:sz w:val="32"/>
          <w:szCs w:val="32"/>
        </w:rPr>
        <w:t>受让方在申请采矿登记前，按照国家和重庆市绿色矿山建设标准，委托第三方编制或自行编制《绿色矿山建设实施方案》，经受让方加盖印章、法定代表人和技术负责人签字，向所在地区县（自治县）自然资源主管部门报备，作为接受监督检查和第三方评估的依据。</w:t>
      </w:r>
    </w:p>
    <w:p>
      <w:pPr>
        <w:spacing w:line="520" w:lineRule="exact"/>
        <w:ind w:firstLine="608"/>
        <w:rPr>
          <w:rFonts w:ascii="Times New Roman" w:hAnsi="Times New Roman" w:eastAsia="仿宋_GB2312" w:cs="Times New Roman"/>
          <w:color w:val="FF0000"/>
          <w:spacing w:val="-6"/>
          <w:sz w:val="32"/>
          <w:szCs w:val="32"/>
        </w:rPr>
      </w:pPr>
      <w:r>
        <w:rPr>
          <w:rFonts w:ascii="Times New Roman" w:hAnsi="Times New Roman" w:eastAsia="仿宋_GB2312" w:cs="Times New Roman"/>
          <w:b/>
          <w:spacing w:val="-6"/>
          <w:sz w:val="32"/>
          <w:szCs w:val="32"/>
        </w:rPr>
        <w:t xml:space="preserve">第九条  </w:t>
      </w:r>
      <w:r>
        <w:rPr>
          <w:rFonts w:hint="eastAsia" w:ascii="Times New Roman" w:hAnsi="Times New Roman" w:eastAsia="仿宋_GB2312" w:cs="Times New Roman"/>
          <w:spacing w:val="-6"/>
          <w:sz w:val="32"/>
          <w:szCs w:val="32"/>
        </w:rPr>
        <w:t>受让方应按照《绿色矿山建设实施方案》确定的建设内容和建设时序，开展绿色矿山建设，矿山企业投产时，同步建成绿色矿山并通过绿色矿山第三方评估。（适用于新建矿山）</w:t>
      </w:r>
    </w:p>
    <w:p>
      <w:pPr>
        <w:spacing w:line="520" w:lineRule="exact"/>
        <w:ind w:firstLine="608"/>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受让方应按照《绿色矿山建设实施方案》确定的建设内容和建设时序，开展绿色矿山建设，于</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月前建成绿色矿山并通过绿色矿山第三方评估。（适用于已建矿山）</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w:t>
      </w:r>
      <w:r>
        <w:rPr>
          <w:rFonts w:hint="eastAsia" w:ascii="Times New Roman" w:hAnsi="Times New Roman" w:eastAsia="仿宋_GB2312" w:cs="Times New Roman"/>
          <w:spacing w:val="-6"/>
          <w:sz w:val="32"/>
          <w:szCs w:val="32"/>
        </w:rPr>
        <w:t>；如需将该宗采矿权进行抵押的，应按照本合同约定缴清全部采矿权出让收益。</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w:t>
      </w:r>
      <w:r>
        <w:rPr>
          <w:rFonts w:hint="eastAsia" w:ascii="Times New Roman" w:hAnsi="Times New Roman" w:eastAsia="仿宋_GB2312" w:cs="Times New Roman"/>
          <w:spacing w:val="-6"/>
          <w:sz w:val="32"/>
          <w:szCs w:val="32"/>
        </w:rPr>
        <w:t>矿产资源</w:t>
      </w:r>
      <w:r>
        <w:rPr>
          <w:rFonts w:ascii="Times New Roman" w:hAnsi="Times New Roman" w:eastAsia="仿宋_GB2312" w:cs="Times New Roman"/>
          <w:spacing w:val="-6"/>
          <w:sz w:val="32"/>
          <w:szCs w:val="32"/>
        </w:rPr>
        <w:t>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在本合同约定的采矿权在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在采矿权出让年限内，国家和重庆市政府有新的规定时，按新规定执行。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color w:val="FF0000"/>
          <w:spacing w:val="-6"/>
          <w:sz w:val="32"/>
          <w:szCs w:val="32"/>
        </w:rPr>
        <w:t xml:space="preserve"> </w:t>
      </w:r>
      <w:r>
        <w:rPr>
          <w:rFonts w:hint="eastAsia" w:ascii="Times New Roman" w:hAnsi="Times New Roman" w:eastAsia="仿宋_GB2312" w:cs="Times New Roman"/>
          <w:spacing w:val="-6"/>
          <w:sz w:val="32"/>
          <w:szCs w:val="32"/>
        </w:rPr>
        <w:t>受让方未按本合同约定时间内，按照法律法规规定的要件资料申请采矿权登记的，出让方有权解除合同，不退还受让方已缴纳的出让收益。</w:t>
      </w:r>
      <w:r>
        <w:rPr>
          <w:rFonts w:ascii="Times New Roman" w:hAnsi="Times New Roman" w:eastAsia="仿宋_GB2312" w:cs="Times New Roman"/>
          <w:spacing w:val="-6"/>
          <w:sz w:val="32"/>
          <w:szCs w:val="32"/>
        </w:rPr>
        <w:t>双方另有约定除外。</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出让方未按本合同约定按时颁发采矿许可证的，应自延期颁发采矿许可证之日起6个月内，按照受让方已支付的采矿权出让收益的2‰按日向受让方支付违约金。</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延期颁发采矿许可证超过6个月，受让方有权解除合同，出让方应返还受让方已缴纳的采矿权出让收益。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未按本合同约定按期建成绿色矿山及通过绿色矿山第三方评估的，出让方有权要求受让方限期整改，并可以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第二十一条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rPr>
        <w:t>三</w:t>
      </w:r>
      <w:r>
        <w:rPr>
          <w:rFonts w:ascii="Times New Roman" w:hAnsi="Times New Roman" w:eastAsia="仿宋_GB2312" w:cs="Times New Roman"/>
          <w:b/>
          <w:spacing w:val="-6"/>
          <w:sz w:val="32"/>
          <w:szCs w:val="32"/>
        </w:rPr>
        <w:t>条</w:t>
      </w:r>
      <w:r>
        <w:rPr>
          <w:rFonts w:hint="eastAsia" w:ascii="Times New Roman" w:hAnsi="Times New Roman" w:eastAsia="仿宋_GB2312" w:cs="Times New Roman"/>
          <w:b/>
          <w:spacing w:val="-6"/>
          <w:sz w:val="32"/>
          <w:szCs w:val="32"/>
        </w:rPr>
        <w:t xml:space="preserve">  </w:t>
      </w:r>
      <w:r>
        <w:rPr>
          <w:rFonts w:hint="eastAsia" w:ascii="Times New Roman" w:hAnsi="Times New Roman" w:eastAsia="仿宋_GB2312" w:cs="Times New Roman"/>
          <w:spacing w:val="-6"/>
          <w:sz w:val="32"/>
          <w:szCs w:val="32"/>
        </w:rPr>
        <w:t>该宗采矿权出让公告涉及的资产评估内容和价值，是为解决原矿权人之前投入，借贷资金等遗留问题，竞得人须在本轮采矿权出让期限内自行消化处置；本轮采矿权出让期限届满后采矿权由政府收回，下轮采矿权包装出让中不再对其矿业权人资产、前期投入等进行评估，且不再纳入采矿权前期包装出让成本中。</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rPr>
        <w:t>四</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rPr>
        <w:t>五</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rPr>
        <w:t>六</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本合同经双方法定代表人或其授权委托代理人签字（章）</w:t>
      </w:r>
      <w:r>
        <w:rPr>
          <w:rFonts w:hint="eastAsia" w:ascii="Times New Roman" w:hAnsi="Times New Roman" w:eastAsia="仿宋_GB2312" w:cs="Times New Roman"/>
          <w:spacing w:val="-6"/>
          <w:sz w:val="32"/>
          <w:szCs w:val="32"/>
        </w:rPr>
        <w:t>后生效</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rPr>
        <w:t>七</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本合同采用汉字书写，一式陆份，具有同等法律效力，双方各执叁份。</w:t>
      </w:r>
    </w:p>
    <w:p>
      <w:pPr>
        <w:spacing w:line="520" w:lineRule="exact"/>
        <w:ind w:firstLine="607"/>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rPr>
        <w:t>八</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本合同于</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日在重庆市</w:t>
      </w:r>
      <w:r>
        <w:rPr>
          <w:rFonts w:hint="eastAsia" w:ascii="Times New Roman" w:hAnsi="Times New Roman" w:eastAsia="仿宋_GB2312" w:cs="Times New Roman"/>
          <w:spacing w:val="-6"/>
          <w:sz w:val="32"/>
          <w:szCs w:val="32"/>
        </w:rPr>
        <w:t>合川区</w:t>
      </w:r>
      <w:r>
        <w:rPr>
          <w:rFonts w:ascii="Times New Roman" w:hAnsi="Times New Roman" w:eastAsia="仿宋_GB2312" w:cs="Times New Roman"/>
          <w:spacing w:val="-6"/>
          <w:sz w:val="32"/>
          <w:szCs w:val="32"/>
        </w:rPr>
        <w:t>规划和自然资源局签订。</w:t>
      </w: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ascii="Times New Roman" w:hAnsi="Times New Roman" w:eastAsia="仿宋_GB2312" w:cs="Times New Roman"/>
          <w:spacing w:val="-20"/>
          <w:sz w:val="32"/>
          <w:szCs w:val="32"/>
        </w:rPr>
      </w:pPr>
      <w:r>
        <w:rPr>
          <w:rFonts w:ascii="Times New Roman" w:hAnsi="Times New Roman" w:eastAsia="仿宋_GB2312" w:cs="Times New Roman"/>
          <w:spacing w:val="-6"/>
          <w:sz w:val="32"/>
          <w:szCs w:val="32"/>
        </w:rPr>
        <w:t>重庆市</w:t>
      </w:r>
      <w:r>
        <w:rPr>
          <w:rFonts w:hint="eastAsia" w:ascii="Times New Roman" w:hAnsi="Times New Roman" w:eastAsia="仿宋_GB2312" w:cs="Times New Roman"/>
          <w:spacing w:val="-6"/>
          <w:sz w:val="32"/>
          <w:szCs w:val="32"/>
        </w:rPr>
        <w:t>合川区</w:t>
      </w:r>
      <w:r>
        <w:rPr>
          <w:rFonts w:ascii="Times New Roman" w:hAnsi="Times New Roman" w:eastAsia="仿宋_GB2312" w:cs="Times New Roman"/>
          <w:spacing w:val="-6"/>
          <w:sz w:val="32"/>
          <w:szCs w:val="32"/>
        </w:rPr>
        <w:t xml:space="preserve">规划和自然资源局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（签章）</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Arial Unicode MS"/>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7</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1EFF2"/>
    <w:multiLevelType w:val="singleLevel"/>
    <w:tmpl w:val="03F1EFF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3475"/>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4AE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0A0E"/>
    <w:rsid w:val="00112660"/>
    <w:rsid w:val="00120BFE"/>
    <w:rsid w:val="0012287B"/>
    <w:rsid w:val="00126705"/>
    <w:rsid w:val="00132EF8"/>
    <w:rsid w:val="00135B85"/>
    <w:rsid w:val="00135C8B"/>
    <w:rsid w:val="00137731"/>
    <w:rsid w:val="00145D44"/>
    <w:rsid w:val="00154DE2"/>
    <w:rsid w:val="001555F4"/>
    <w:rsid w:val="001557FD"/>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21E"/>
    <w:rsid w:val="00295AF1"/>
    <w:rsid w:val="002A6252"/>
    <w:rsid w:val="002A78B6"/>
    <w:rsid w:val="002B1A37"/>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192B"/>
    <w:rsid w:val="002F6BD5"/>
    <w:rsid w:val="00300854"/>
    <w:rsid w:val="0030707C"/>
    <w:rsid w:val="00307B31"/>
    <w:rsid w:val="00315E88"/>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77BCF"/>
    <w:rsid w:val="003849FF"/>
    <w:rsid w:val="00391B03"/>
    <w:rsid w:val="00396D5C"/>
    <w:rsid w:val="003A09CE"/>
    <w:rsid w:val="003A25E1"/>
    <w:rsid w:val="003A33BA"/>
    <w:rsid w:val="003A6F37"/>
    <w:rsid w:val="003A7DFE"/>
    <w:rsid w:val="003B5677"/>
    <w:rsid w:val="003C2A4A"/>
    <w:rsid w:val="003D1986"/>
    <w:rsid w:val="003E02F4"/>
    <w:rsid w:val="003E5534"/>
    <w:rsid w:val="003F006B"/>
    <w:rsid w:val="003F39CF"/>
    <w:rsid w:val="00403513"/>
    <w:rsid w:val="0040410E"/>
    <w:rsid w:val="00404DA2"/>
    <w:rsid w:val="00405A53"/>
    <w:rsid w:val="00410184"/>
    <w:rsid w:val="00410EA6"/>
    <w:rsid w:val="00412C2A"/>
    <w:rsid w:val="00413DBC"/>
    <w:rsid w:val="00415DAE"/>
    <w:rsid w:val="0041769F"/>
    <w:rsid w:val="0042321E"/>
    <w:rsid w:val="00427F36"/>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4F5667"/>
    <w:rsid w:val="00505F32"/>
    <w:rsid w:val="005131C0"/>
    <w:rsid w:val="00514AF1"/>
    <w:rsid w:val="00517364"/>
    <w:rsid w:val="0051772E"/>
    <w:rsid w:val="0053068E"/>
    <w:rsid w:val="00530C43"/>
    <w:rsid w:val="00532674"/>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2E26"/>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4F34"/>
    <w:rsid w:val="00676C79"/>
    <w:rsid w:val="00683086"/>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3B75"/>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28E8"/>
    <w:rsid w:val="007347A6"/>
    <w:rsid w:val="00735E50"/>
    <w:rsid w:val="00753C6B"/>
    <w:rsid w:val="0076280D"/>
    <w:rsid w:val="00765A06"/>
    <w:rsid w:val="007722DB"/>
    <w:rsid w:val="0078664B"/>
    <w:rsid w:val="007935E6"/>
    <w:rsid w:val="00794650"/>
    <w:rsid w:val="00796EC5"/>
    <w:rsid w:val="007971F1"/>
    <w:rsid w:val="007A30EE"/>
    <w:rsid w:val="007A4162"/>
    <w:rsid w:val="007A4636"/>
    <w:rsid w:val="007B0C8D"/>
    <w:rsid w:val="007B5CAC"/>
    <w:rsid w:val="007C0D30"/>
    <w:rsid w:val="007D4516"/>
    <w:rsid w:val="007D4E3F"/>
    <w:rsid w:val="007D58CF"/>
    <w:rsid w:val="007D6685"/>
    <w:rsid w:val="007E02AA"/>
    <w:rsid w:val="007E4B7A"/>
    <w:rsid w:val="007E6CFC"/>
    <w:rsid w:val="007F298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3A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1661"/>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05F53"/>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0BF2"/>
    <w:rsid w:val="00A010B1"/>
    <w:rsid w:val="00A02DD6"/>
    <w:rsid w:val="00A111EC"/>
    <w:rsid w:val="00A11290"/>
    <w:rsid w:val="00A115A2"/>
    <w:rsid w:val="00A117EA"/>
    <w:rsid w:val="00A119CF"/>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0A80"/>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A7DCC"/>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C7E86"/>
    <w:rsid w:val="00CD0CF5"/>
    <w:rsid w:val="00CD2CDE"/>
    <w:rsid w:val="00CE73F1"/>
    <w:rsid w:val="00D018AD"/>
    <w:rsid w:val="00D02738"/>
    <w:rsid w:val="00D106D8"/>
    <w:rsid w:val="00D11899"/>
    <w:rsid w:val="00D1755C"/>
    <w:rsid w:val="00D22873"/>
    <w:rsid w:val="00D2614B"/>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420"/>
    <w:rsid w:val="00DD0B00"/>
    <w:rsid w:val="00DD52CE"/>
    <w:rsid w:val="00DD5510"/>
    <w:rsid w:val="00DD6961"/>
    <w:rsid w:val="00DE06D0"/>
    <w:rsid w:val="00DE3B36"/>
    <w:rsid w:val="00DF0D65"/>
    <w:rsid w:val="00DF13C4"/>
    <w:rsid w:val="00DF16A9"/>
    <w:rsid w:val="00DF1C69"/>
    <w:rsid w:val="00DF27F6"/>
    <w:rsid w:val="00DF49C3"/>
    <w:rsid w:val="00DF6D61"/>
    <w:rsid w:val="00DF7B5B"/>
    <w:rsid w:val="00E031A6"/>
    <w:rsid w:val="00E03583"/>
    <w:rsid w:val="00E179B1"/>
    <w:rsid w:val="00E25F14"/>
    <w:rsid w:val="00E2705F"/>
    <w:rsid w:val="00E30FFA"/>
    <w:rsid w:val="00E31141"/>
    <w:rsid w:val="00E32FA5"/>
    <w:rsid w:val="00E33A0D"/>
    <w:rsid w:val="00E34937"/>
    <w:rsid w:val="00E36483"/>
    <w:rsid w:val="00E412F9"/>
    <w:rsid w:val="00E43C0B"/>
    <w:rsid w:val="00E46850"/>
    <w:rsid w:val="00E51655"/>
    <w:rsid w:val="00E51F08"/>
    <w:rsid w:val="00E545CB"/>
    <w:rsid w:val="00E5573F"/>
    <w:rsid w:val="00E55C3A"/>
    <w:rsid w:val="00E55CAB"/>
    <w:rsid w:val="00E603E8"/>
    <w:rsid w:val="00E66D6D"/>
    <w:rsid w:val="00E77DB1"/>
    <w:rsid w:val="00E960CF"/>
    <w:rsid w:val="00E97EE9"/>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0B6"/>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3C1F"/>
    <w:rsid w:val="00F548A9"/>
    <w:rsid w:val="00F57BE2"/>
    <w:rsid w:val="00F625BB"/>
    <w:rsid w:val="00F62875"/>
    <w:rsid w:val="00F65139"/>
    <w:rsid w:val="00F7262C"/>
    <w:rsid w:val="00F7655C"/>
    <w:rsid w:val="00F80103"/>
    <w:rsid w:val="00F90239"/>
    <w:rsid w:val="00F91752"/>
    <w:rsid w:val="00F91940"/>
    <w:rsid w:val="00F94D93"/>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0168185F"/>
    <w:rsid w:val="0F4C3EDB"/>
    <w:rsid w:val="16A40F90"/>
    <w:rsid w:val="172C4AB0"/>
    <w:rsid w:val="23587CBC"/>
    <w:rsid w:val="2FE46A1A"/>
    <w:rsid w:val="368C13DF"/>
    <w:rsid w:val="418E67F7"/>
    <w:rsid w:val="478827F4"/>
    <w:rsid w:val="48F94AA5"/>
    <w:rsid w:val="50107BAC"/>
    <w:rsid w:val="5BE822A3"/>
    <w:rsid w:val="5CC5662A"/>
    <w:rsid w:val="5D1A68C8"/>
    <w:rsid w:val="61F7355C"/>
    <w:rsid w:val="64835FEC"/>
    <w:rsid w:val="68D37973"/>
    <w:rsid w:val="73F64E8E"/>
    <w:rsid w:val="75553908"/>
    <w:rsid w:val="7A1A5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22"/>
    <w:rPr>
      <w:b/>
      <w:bCs/>
    </w:rPr>
  </w:style>
  <w:style w:type="character" w:styleId="9">
    <w:name w:val="page number"/>
    <w:basedOn w:val="7"/>
    <w:qFormat/>
    <w:uiPriority w:val="0"/>
  </w:style>
  <w:style w:type="character" w:styleId="10">
    <w:name w:val="Hyperlink"/>
    <w:basedOn w:val="7"/>
    <w:unhideWhenUsed/>
    <w:qFormat/>
    <w:uiPriority w:val="99"/>
    <w:rPr>
      <w:color w:val="0563C1" w:themeColor="hyperlink"/>
      <w:u w:val="single"/>
      <w14:textFill>
        <w14:solidFill>
          <w14:schemeClr w14:val="hlink"/>
        </w14:solidFill>
      </w14:textFill>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table" w:customStyle="1" w:styleId="13">
    <w:name w:val="网格型1"/>
    <w:basedOn w:val="5"/>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4">
    <w:name w:val="List Paragraph"/>
    <w:basedOn w:val="1"/>
    <w:qFormat/>
    <w:uiPriority w:val="34"/>
    <w:pPr>
      <w:ind w:firstLine="420" w:firstLineChars="200"/>
    </w:pPr>
  </w:style>
  <w:style w:type="character" w:customStyle="1" w:styleId="15">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利用事务中心</Company>
  <Pages>7</Pages>
  <Words>564</Words>
  <Characters>3216</Characters>
  <Lines>26</Lines>
  <Paragraphs>7</Paragraphs>
  <TotalTime>1</TotalTime>
  <ScaleCrop>false</ScaleCrop>
  <LinksUpToDate>false</LinksUpToDate>
  <CharactersWithSpaces>3773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Administrator</cp:lastModifiedBy>
  <cp:lastPrinted>2023-05-26T02:55:00Z</cp:lastPrinted>
  <dcterms:modified xsi:type="dcterms:W3CDTF">2023-05-26T08:07:58Z</dcterms:modified>
  <cp:revision>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AFDB707C1D294562AA7C36785A81BDF4</vt:lpwstr>
  </property>
</Properties>
</file>