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0" w:after="0"/>
        <w:jc w:val="center"/>
        <w:rPr>
          <w:rFonts w:ascii="Times New Roman" w:hAnsi="Times New Roman" w:eastAsia="黑体" w:cs="Times New Roman"/>
          <w:sz w:val="40"/>
          <w:szCs w:val="40"/>
        </w:rPr>
      </w:pPr>
      <w:r>
        <w:rPr>
          <w:rFonts w:hint="eastAsia" w:ascii="Times New Roman" w:hAnsi="Times New Roman" w:eastAsia="黑体" w:cs="Times New Roman"/>
          <w:sz w:val="40"/>
          <w:szCs w:val="40"/>
        </w:rPr>
        <w:t>重庆市南川区东城街道高桥村一社建筑石料用灰岩</w:t>
      </w:r>
      <w:r>
        <w:rPr>
          <w:rFonts w:ascii="Times New Roman" w:hAnsi="Times New Roman" w:eastAsia="黑体" w:cs="Times New Roman"/>
          <w:sz w:val="40"/>
          <w:szCs w:val="40"/>
        </w:rPr>
        <w:t>采矿权</w:t>
      </w:r>
      <w:r>
        <w:rPr>
          <w:rFonts w:hint="eastAsia" w:ascii="Times New Roman" w:hAnsi="Times New Roman" w:eastAsia="黑体" w:cs="Times New Roman"/>
          <w:sz w:val="40"/>
          <w:szCs w:val="40"/>
        </w:rPr>
        <w:t>挂牌</w:t>
      </w:r>
      <w:r>
        <w:rPr>
          <w:rFonts w:ascii="Times New Roman" w:hAnsi="Times New Roman" w:eastAsia="黑体" w:cs="Times New Roman"/>
          <w:sz w:val="40"/>
          <w:szCs w:val="40"/>
        </w:rPr>
        <w:t>出让公告</w:t>
      </w:r>
    </w:p>
    <w:p>
      <w:pPr>
        <w:spacing w:before="0" w:after="0"/>
        <w:jc w:val="center"/>
        <w:rPr>
          <w:rFonts w:ascii="Times New Roman" w:hAnsi="Times New Roman" w:eastAsia="黑体" w:cs="Times New Roman"/>
          <w:sz w:val="30"/>
          <w:szCs w:val="30"/>
        </w:rPr>
      </w:pPr>
      <w:r>
        <w:rPr>
          <w:rFonts w:hint="eastAsia" w:ascii="Times New Roman" w:hAnsi="Times New Roman" w:eastAsia="黑体" w:cs="Times New Roman"/>
          <w:sz w:val="30"/>
          <w:szCs w:val="30"/>
        </w:rPr>
        <w:t>渝矿采出字〔2023〕（南川）1号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根据国家和重庆市的相关规定，</w:t>
      </w:r>
      <w:r>
        <w:rPr>
          <w:rFonts w:hint="default" w:ascii="Times New Roman" w:hAnsi="Times New Roman" w:cs="Times New Roman"/>
          <w:sz w:val="24"/>
          <w:szCs w:val="24"/>
        </w:rPr>
        <w:t>重庆市南川区规划和自然资源局</w:t>
      </w:r>
      <w:r>
        <w:rPr>
          <w:rFonts w:ascii="Times New Roman" w:hAnsi="Times New Roman" w:cs="Times New Roman"/>
          <w:sz w:val="24"/>
          <w:szCs w:val="24"/>
        </w:rPr>
        <w:t>决定公开</w:t>
      </w:r>
      <w:r>
        <w:rPr>
          <w:rFonts w:hint="eastAsia" w:ascii="Times New Roman" w:hAnsi="Times New Roman" w:cs="Times New Roman"/>
          <w:sz w:val="24"/>
          <w:szCs w:val="24"/>
        </w:rPr>
        <w:t>挂牌</w:t>
      </w:r>
      <w:r>
        <w:rPr>
          <w:rFonts w:ascii="Times New Roman" w:hAnsi="Times New Roman" w:cs="Times New Roman"/>
          <w:sz w:val="24"/>
          <w:szCs w:val="24"/>
        </w:rPr>
        <w:t>出让以下采矿权，并委托</w:t>
      </w:r>
      <w:r>
        <w:rPr>
          <w:rFonts w:hint="eastAsia" w:ascii="Times New Roman" w:hAnsi="Times New Roman" w:cs="Times New Roman"/>
          <w:sz w:val="24"/>
          <w:szCs w:val="24"/>
        </w:rPr>
        <w:t>重庆市南川区公共资源综合交易中心</w:t>
      </w:r>
      <w:r>
        <w:rPr>
          <w:rFonts w:ascii="Times New Roman" w:hAnsi="Times New Roman" w:cs="Times New Roman"/>
          <w:sz w:val="24"/>
          <w:szCs w:val="24"/>
        </w:rPr>
        <w:t>负责公开出让交易环节的组织实施。现将有关事项公告如下：</w:t>
      </w:r>
    </w:p>
    <w:p>
      <w:pPr>
        <w:spacing w:before="0" w:after="0" w:line="360" w:lineRule="exact"/>
        <w:ind w:firstLine="480" w:firstLineChars="200"/>
        <w:rPr>
          <w:rFonts w:ascii="Times New Roman" w:hAnsi="Times New Roman" w:cs="Times New Roman"/>
          <w:b/>
          <w:sz w:val="24"/>
          <w:szCs w:val="24"/>
        </w:rPr>
      </w:pPr>
      <w:r>
        <w:rPr>
          <w:rFonts w:ascii="Times New Roman" w:hAnsi="Times New Roman" w:cs="Times New Roman"/>
          <w:sz w:val="24"/>
          <w:szCs w:val="24"/>
        </w:rPr>
        <w:t>本次公告同步发布的网站：中华人民共和国自然资源部</w:t>
      </w:r>
      <w:r>
        <w:rPr>
          <w:rFonts w:ascii="Times New Roman" w:hAnsi="Times New Roman" w:cs="Times New Roman"/>
          <w:i/>
          <w:sz w:val="24"/>
          <w:szCs w:val="24"/>
          <w:u w:val="single"/>
        </w:rPr>
        <w:t>（https://www.mnr.gov.cn/）</w:t>
      </w:r>
      <w:r>
        <w:rPr>
          <w:rFonts w:ascii="Times New Roman" w:hAnsi="Times New Roman" w:cs="Times New Roman"/>
          <w:sz w:val="24"/>
          <w:szCs w:val="24"/>
        </w:rPr>
        <w:t>、重庆市规划和自然资源局</w:t>
      </w:r>
      <w:r>
        <w:rPr>
          <w:rFonts w:ascii="Times New Roman" w:hAnsi="Times New Roman" w:cs="Times New Roman"/>
          <w:i/>
          <w:sz w:val="24"/>
          <w:szCs w:val="24"/>
          <w:u w:val="single"/>
        </w:rPr>
        <w:t>（http://ghzrzyj.cq.gov.cn）</w:t>
      </w:r>
      <w:r>
        <w:rPr>
          <w:rFonts w:ascii="Times New Roman" w:hAnsi="Times New Roman" w:cs="Times New Roman"/>
          <w:sz w:val="24"/>
          <w:szCs w:val="24"/>
        </w:rPr>
        <w:t>、</w:t>
      </w:r>
      <w:r>
        <w:rPr>
          <w:rFonts w:hint="eastAsia" w:ascii="Times New Roman" w:hAnsi="Times New Roman" w:cs="Times New Roman"/>
          <w:sz w:val="24"/>
          <w:szCs w:val="24"/>
        </w:rPr>
        <w:t>重庆市南川区公共资源综合交易中心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w:t>
      </w:r>
      <w:r>
        <w:rPr>
          <w:rFonts w:ascii="Times New Roman" w:hAnsi="Times New Roman" w:cs="Times New Roman"/>
          <w:i/>
          <w:sz w:val="24"/>
          <w:szCs w:val="24"/>
          <w:u w:val="none"/>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一、基本情况</w:t>
      </w:r>
    </w:p>
    <w:tbl>
      <w:tblPr>
        <w:tblStyle w:val="5"/>
        <w:tblW w:w="13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37"/>
        <w:gridCol w:w="1510"/>
        <w:gridCol w:w="1103"/>
        <w:gridCol w:w="1080"/>
        <w:gridCol w:w="1490"/>
        <w:gridCol w:w="1146"/>
        <w:gridCol w:w="1343"/>
        <w:gridCol w:w="925"/>
        <w:gridCol w:w="1061"/>
        <w:gridCol w:w="851"/>
        <w:gridCol w:w="1134"/>
        <w:gridCol w:w="9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6" w:hRule="atLeast"/>
        </w:trPr>
        <w:tc>
          <w:tcPr>
            <w:tcW w:w="1037" w:type="dxa"/>
            <w:vAlign w:val="center"/>
          </w:tcPr>
          <w:p>
            <w:pPr>
              <w:jc w:val="center"/>
              <w:rPr>
                <w:rFonts w:ascii="Times New Roman" w:hAnsi="Times New Roman" w:cs="Times New Roman"/>
                <w:szCs w:val="21"/>
              </w:rPr>
            </w:pPr>
            <w:r>
              <w:rPr>
                <w:rFonts w:ascii="Times New Roman" w:hAnsi="Times New Roman" w:cs="Times New Roman"/>
                <w:szCs w:val="21"/>
              </w:rPr>
              <w:t>序号</w:t>
            </w:r>
          </w:p>
        </w:tc>
        <w:tc>
          <w:tcPr>
            <w:tcW w:w="1510" w:type="dxa"/>
            <w:vAlign w:val="center"/>
          </w:tcPr>
          <w:p>
            <w:pPr>
              <w:jc w:val="center"/>
              <w:rPr>
                <w:rFonts w:ascii="Times New Roman" w:hAnsi="Times New Roman" w:cs="Times New Roman"/>
                <w:szCs w:val="21"/>
              </w:rPr>
            </w:pPr>
            <w:r>
              <w:rPr>
                <w:rFonts w:ascii="Times New Roman" w:hAnsi="Times New Roman" w:cs="Times New Roman"/>
                <w:szCs w:val="21"/>
              </w:rPr>
              <w:t>采矿权名称</w:t>
            </w:r>
          </w:p>
          <w:p>
            <w:pPr>
              <w:jc w:val="center"/>
              <w:rPr>
                <w:rFonts w:ascii="Times New Roman" w:hAnsi="Times New Roman" w:cs="Times New Roman"/>
                <w:szCs w:val="21"/>
              </w:rPr>
            </w:pPr>
            <w:r>
              <w:rPr>
                <w:rFonts w:ascii="Times New Roman" w:hAnsi="Times New Roman" w:cs="Times New Roman"/>
                <w:szCs w:val="21"/>
              </w:rPr>
              <w:t>（暂定名）</w:t>
            </w:r>
          </w:p>
        </w:tc>
        <w:tc>
          <w:tcPr>
            <w:tcW w:w="1103" w:type="dxa"/>
            <w:vAlign w:val="center"/>
          </w:tcPr>
          <w:p>
            <w:pPr>
              <w:jc w:val="center"/>
              <w:rPr>
                <w:rFonts w:ascii="Times New Roman" w:hAnsi="Times New Roman" w:cs="Times New Roman"/>
                <w:szCs w:val="21"/>
              </w:rPr>
            </w:pPr>
            <w:r>
              <w:rPr>
                <w:rFonts w:ascii="Times New Roman" w:hAnsi="Times New Roman" w:cs="Times New Roman"/>
                <w:szCs w:val="21"/>
              </w:rPr>
              <w:t>地理位置</w:t>
            </w:r>
          </w:p>
        </w:tc>
        <w:tc>
          <w:tcPr>
            <w:tcW w:w="1080" w:type="dxa"/>
            <w:vAlign w:val="center"/>
          </w:tcPr>
          <w:p>
            <w:pPr>
              <w:jc w:val="center"/>
              <w:rPr>
                <w:rFonts w:ascii="Times New Roman" w:hAnsi="Times New Roman" w:cs="Times New Roman"/>
                <w:szCs w:val="21"/>
              </w:rPr>
            </w:pPr>
            <w:r>
              <w:rPr>
                <w:rFonts w:ascii="Times New Roman" w:hAnsi="Times New Roman" w:cs="Times New Roman"/>
                <w:szCs w:val="21"/>
              </w:rPr>
              <w:t>矿种</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矿区范围</w:t>
            </w:r>
          </w:p>
          <w:p>
            <w:pPr>
              <w:jc w:val="center"/>
              <w:rPr>
                <w:rFonts w:ascii="Times New Roman" w:hAnsi="Times New Roman" w:cs="Times New Roman"/>
                <w:szCs w:val="21"/>
              </w:rPr>
            </w:pPr>
            <w:r>
              <w:rPr>
                <w:rFonts w:ascii="Times New Roman" w:hAnsi="Times New Roman" w:cs="Times New Roman"/>
                <w:szCs w:val="21"/>
              </w:rPr>
              <w:t>拐点坐标</w:t>
            </w:r>
          </w:p>
        </w:tc>
        <w:tc>
          <w:tcPr>
            <w:tcW w:w="1146" w:type="dxa"/>
            <w:vAlign w:val="center"/>
          </w:tcPr>
          <w:p>
            <w:pPr>
              <w:jc w:val="center"/>
              <w:rPr>
                <w:rFonts w:ascii="Times New Roman" w:hAnsi="Times New Roman" w:cs="Times New Roman"/>
                <w:szCs w:val="21"/>
              </w:rPr>
            </w:pPr>
            <w:r>
              <w:rPr>
                <w:rFonts w:ascii="Times New Roman" w:hAnsi="Times New Roman" w:cs="Times New Roman"/>
                <w:szCs w:val="21"/>
              </w:rPr>
              <w:t>资源储量</w:t>
            </w:r>
          </w:p>
        </w:tc>
        <w:tc>
          <w:tcPr>
            <w:tcW w:w="1343" w:type="dxa"/>
            <w:vAlign w:val="center"/>
          </w:tcPr>
          <w:p>
            <w:pPr>
              <w:jc w:val="center"/>
              <w:rPr>
                <w:rFonts w:ascii="Times New Roman" w:hAnsi="Times New Roman" w:cs="Times New Roman"/>
                <w:szCs w:val="21"/>
              </w:rPr>
            </w:pPr>
            <w:r>
              <w:rPr>
                <w:rFonts w:ascii="Times New Roman" w:hAnsi="Times New Roman" w:cs="Times New Roman"/>
                <w:szCs w:val="21"/>
              </w:rPr>
              <w:t>矿区面积</w:t>
            </w:r>
          </w:p>
          <w:p>
            <w:pPr>
              <w:jc w:val="center"/>
              <w:rPr>
                <w:rFonts w:ascii="Times New Roman" w:hAnsi="Times New Roman" w:cs="Times New Roman"/>
                <w:szCs w:val="21"/>
              </w:rPr>
            </w:pPr>
            <w:r>
              <w:rPr>
                <w:rFonts w:ascii="Times New Roman" w:hAnsi="Times New Roman" w:cs="Times New Roman"/>
                <w:szCs w:val="21"/>
              </w:rPr>
              <w:t>(平方公里)</w:t>
            </w:r>
          </w:p>
        </w:tc>
        <w:tc>
          <w:tcPr>
            <w:tcW w:w="925" w:type="dxa"/>
            <w:vAlign w:val="center"/>
          </w:tcPr>
          <w:p>
            <w:pPr>
              <w:jc w:val="center"/>
              <w:rPr>
                <w:rFonts w:ascii="Times New Roman" w:hAnsi="Times New Roman" w:cs="Times New Roman"/>
                <w:szCs w:val="21"/>
              </w:rPr>
            </w:pPr>
            <w:r>
              <w:rPr>
                <w:rFonts w:ascii="Times New Roman" w:hAnsi="Times New Roman" w:cs="Times New Roman"/>
                <w:szCs w:val="21"/>
              </w:rPr>
              <w:t>开采</w:t>
            </w:r>
          </w:p>
          <w:p>
            <w:pPr>
              <w:jc w:val="center"/>
              <w:rPr>
                <w:rFonts w:ascii="Times New Roman" w:hAnsi="Times New Roman" w:cs="Times New Roman"/>
                <w:szCs w:val="21"/>
              </w:rPr>
            </w:pPr>
            <w:r>
              <w:rPr>
                <w:rFonts w:ascii="Times New Roman" w:hAnsi="Times New Roman" w:cs="Times New Roman"/>
                <w:szCs w:val="21"/>
              </w:rPr>
              <w:t>标高</w:t>
            </w:r>
          </w:p>
        </w:tc>
        <w:tc>
          <w:tcPr>
            <w:tcW w:w="1061" w:type="dxa"/>
            <w:vAlign w:val="center"/>
          </w:tcPr>
          <w:p>
            <w:pPr>
              <w:jc w:val="center"/>
              <w:rPr>
                <w:rFonts w:ascii="Times New Roman" w:hAnsi="Times New Roman" w:cs="Times New Roman"/>
                <w:szCs w:val="21"/>
              </w:rPr>
            </w:pPr>
            <w:r>
              <w:rPr>
                <w:rFonts w:ascii="Times New Roman" w:hAnsi="Times New Roman" w:cs="Times New Roman"/>
                <w:szCs w:val="21"/>
              </w:rPr>
              <w:t>生产</w:t>
            </w:r>
          </w:p>
          <w:p>
            <w:pPr>
              <w:jc w:val="center"/>
              <w:rPr>
                <w:rFonts w:ascii="Times New Roman" w:hAnsi="Times New Roman" w:cs="Times New Roman"/>
                <w:szCs w:val="21"/>
              </w:rPr>
            </w:pPr>
            <w:r>
              <w:rPr>
                <w:rFonts w:ascii="Times New Roman" w:hAnsi="Times New Roman" w:cs="Times New Roman"/>
                <w:szCs w:val="21"/>
              </w:rPr>
              <w:t>规模</w:t>
            </w:r>
          </w:p>
        </w:tc>
        <w:tc>
          <w:tcPr>
            <w:tcW w:w="851" w:type="dxa"/>
            <w:vAlign w:val="center"/>
          </w:tcPr>
          <w:p>
            <w:pPr>
              <w:jc w:val="center"/>
              <w:rPr>
                <w:rFonts w:ascii="Times New Roman" w:hAnsi="Times New Roman" w:cs="Times New Roman"/>
                <w:szCs w:val="21"/>
              </w:rPr>
            </w:pPr>
            <w:r>
              <w:rPr>
                <w:rFonts w:ascii="Times New Roman" w:hAnsi="Times New Roman" w:cs="Times New Roman"/>
                <w:szCs w:val="21"/>
              </w:rPr>
              <w:t>出让年限(年)</w:t>
            </w:r>
          </w:p>
        </w:tc>
        <w:tc>
          <w:tcPr>
            <w:tcW w:w="1134" w:type="dxa"/>
            <w:vAlign w:val="center"/>
          </w:tcPr>
          <w:p>
            <w:pPr>
              <w:jc w:val="center"/>
              <w:rPr>
                <w:rFonts w:ascii="Times New Roman" w:hAnsi="Times New Roman" w:cs="Times New Roman"/>
                <w:szCs w:val="21"/>
              </w:rPr>
            </w:pPr>
            <w:r>
              <w:rPr>
                <w:rFonts w:ascii="Times New Roman" w:hAnsi="Times New Roman" w:cs="Times New Roman"/>
                <w:szCs w:val="21"/>
              </w:rPr>
              <w:t>出让收益起始价</w:t>
            </w:r>
          </w:p>
          <w:p>
            <w:pPr>
              <w:jc w:val="center"/>
              <w:rPr>
                <w:rFonts w:ascii="Times New Roman" w:hAnsi="Times New Roman" w:cs="Times New Roman"/>
                <w:szCs w:val="21"/>
              </w:rPr>
            </w:pPr>
            <w:r>
              <w:rPr>
                <w:rFonts w:ascii="Times New Roman" w:hAnsi="Times New Roman" w:cs="Times New Roman"/>
                <w:szCs w:val="21"/>
              </w:rPr>
              <w:t>（万元）</w:t>
            </w:r>
          </w:p>
        </w:tc>
        <w:tc>
          <w:tcPr>
            <w:tcW w:w="923" w:type="dxa"/>
            <w:vAlign w:val="center"/>
          </w:tcPr>
          <w:p>
            <w:pPr>
              <w:jc w:val="center"/>
              <w:rPr>
                <w:rFonts w:ascii="Times New Roman" w:hAnsi="Times New Roman" w:cs="Times New Roman"/>
                <w:szCs w:val="21"/>
              </w:rPr>
            </w:pPr>
            <w:r>
              <w:rPr>
                <w:rFonts w:ascii="Times New Roman" w:hAnsi="Times New Roman" w:cs="Times New Roman"/>
                <w:szCs w:val="21"/>
              </w:rPr>
              <w:t>保证金金额</w:t>
            </w:r>
          </w:p>
          <w:p>
            <w:pPr>
              <w:jc w:val="center"/>
              <w:rPr>
                <w:rFonts w:ascii="Times New Roman" w:hAnsi="Times New Roman" w:cs="Times New Roman"/>
                <w:szCs w:val="21"/>
              </w:rPr>
            </w:pPr>
            <w:r>
              <w:rPr>
                <w:rFonts w:ascii="Times New Roman" w:hAnsi="Times New Roman" w:cs="Times New Roman"/>
                <w:szCs w:val="21"/>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037" w:type="dxa"/>
            <w:vAlign w:val="center"/>
          </w:tcPr>
          <w:p>
            <w:pPr>
              <w:jc w:val="center"/>
              <w:rPr>
                <w:rFonts w:ascii="Times New Roman" w:hAnsi="Times New Roman" w:cs="Times New Roman"/>
                <w:szCs w:val="21"/>
              </w:rPr>
            </w:pPr>
            <w:r>
              <w:rPr>
                <w:rFonts w:hint="eastAsia" w:ascii="Times New Roman" w:hAnsi="Times New Roman" w:cs="Times New Roman"/>
                <w:szCs w:val="21"/>
              </w:rPr>
              <w:t>NCGC202301</w:t>
            </w:r>
          </w:p>
        </w:tc>
        <w:tc>
          <w:tcPr>
            <w:tcW w:w="1510"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重庆市南川区东城街道高桥村一社建筑石料用灰岩</w:t>
            </w:r>
          </w:p>
        </w:tc>
        <w:tc>
          <w:tcPr>
            <w:tcW w:w="1103" w:type="dxa"/>
            <w:vAlign w:val="center"/>
          </w:tcPr>
          <w:p>
            <w:pPr>
              <w:jc w:val="center"/>
              <w:rPr>
                <w:rFonts w:ascii="Times New Roman" w:hAnsi="Times New Roman" w:cs="Times New Roman"/>
                <w:szCs w:val="21"/>
              </w:rPr>
            </w:pPr>
            <w:r>
              <w:rPr>
                <w:rFonts w:hint="eastAsia" w:ascii="Times New Roman" w:hAnsi="Times New Roman" w:cs="Times New Roman"/>
                <w:szCs w:val="21"/>
              </w:rPr>
              <w:t>重庆市南川区东城街道高桥村一社</w:t>
            </w:r>
          </w:p>
        </w:tc>
        <w:tc>
          <w:tcPr>
            <w:tcW w:w="1080" w:type="dxa"/>
            <w:vAlign w:val="center"/>
          </w:tcPr>
          <w:p>
            <w:pPr>
              <w:jc w:val="center"/>
              <w:rPr>
                <w:rFonts w:ascii="Times New Roman" w:hAnsi="Times New Roman" w:cs="Times New Roman"/>
                <w:szCs w:val="21"/>
              </w:rPr>
            </w:pPr>
            <w:r>
              <w:rPr>
                <w:rFonts w:hint="eastAsia" w:ascii="Times New Roman" w:hAnsi="Times New Roman" w:cs="Times New Roman"/>
                <w:szCs w:val="21"/>
              </w:rPr>
              <w:t>建筑石料用灰岩</w:t>
            </w:r>
          </w:p>
        </w:tc>
        <w:tc>
          <w:tcPr>
            <w:tcW w:w="1490" w:type="dxa"/>
            <w:vAlign w:val="center"/>
          </w:tcPr>
          <w:p>
            <w:pPr>
              <w:jc w:val="center"/>
              <w:rPr>
                <w:rFonts w:ascii="Times New Roman" w:hAnsi="Times New Roman" w:cs="Times New Roman"/>
                <w:szCs w:val="21"/>
              </w:rPr>
            </w:pPr>
            <w:r>
              <w:rPr>
                <w:rFonts w:ascii="Times New Roman" w:hAnsi="Times New Roman" w:cs="Times New Roman"/>
                <w:szCs w:val="21"/>
              </w:rPr>
              <w:t>详见《</w:t>
            </w:r>
            <w:r>
              <w:rPr>
                <w:rFonts w:hint="eastAsia" w:ascii="Times New Roman" w:hAnsi="Times New Roman" w:cs="Times New Roman"/>
                <w:szCs w:val="21"/>
              </w:rPr>
              <w:t>出让文件</w:t>
            </w:r>
            <w:r>
              <w:rPr>
                <w:rFonts w:ascii="Times New Roman" w:hAnsi="Times New Roman" w:cs="Times New Roman"/>
                <w:szCs w:val="21"/>
              </w:rPr>
              <w:t>》</w:t>
            </w:r>
          </w:p>
        </w:tc>
        <w:tc>
          <w:tcPr>
            <w:tcW w:w="1146" w:type="dxa"/>
            <w:vAlign w:val="center"/>
          </w:tcPr>
          <w:p>
            <w:pPr>
              <w:jc w:val="center"/>
              <w:rPr>
                <w:rFonts w:ascii="Times New Roman" w:hAnsi="Times New Roman" w:cs="Times New Roman"/>
                <w:szCs w:val="21"/>
              </w:rPr>
            </w:pPr>
            <w:r>
              <w:rPr>
                <w:rFonts w:hint="eastAsia" w:ascii="Times New Roman" w:hAnsi="Times New Roman" w:cs="Times New Roman"/>
                <w:szCs w:val="21"/>
              </w:rPr>
              <w:t>1897.9万吨</w:t>
            </w:r>
          </w:p>
        </w:tc>
        <w:tc>
          <w:tcPr>
            <w:tcW w:w="1343" w:type="dxa"/>
            <w:vAlign w:val="center"/>
          </w:tcPr>
          <w:p>
            <w:pPr>
              <w:jc w:val="center"/>
              <w:rPr>
                <w:rFonts w:ascii="Times New Roman" w:hAnsi="Times New Roman" w:cs="Times New Roman"/>
                <w:szCs w:val="21"/>
              </w:rPr>
            </w:pPr>
            <w:r>
              <w:rPr>
                <w:rFonts w:hint="eastAsia" w:ascii="Times New Roman" w:hAnsi="Times New Roman" w:cs="Times New Roman"/>
                <w:szCs w:val="21"/>
              </w:rPr>
              <w:t>0.1848</w:t>
            </w:r>
          </w:p>
        </w:tc>
        <w:tc>
          <w:tcPr>
            <w:tcW w:w="925" w:type="dxa"/>
            <w:vAlign w:val="center"/>
          </w:tcPr>
          <w:p>
            <w:pPr>
              <w:jc w:val="center"/>
              <w:rPr>
                <w:rFonts w:ascii="Times New Roman" w:hAnsi="Times New Roman" w:cs="Times New Roman"/>
                <w:szCs w:val="21"/>
              </w:rPr>
            </w:pPr>
            <w:r>
              <w:rPr>
                <w:rFonts w:hint="eastAsia" w:ascii="Times New Roman" w:hAnsi="Times New Roman" w:cs="Times New Roman"/>
                <w:szCs w:val="21"/>
                <w:lang w:val="en-US" w:eastAsia="zh-CN"/>
              </w:rPr>
              <w:t>+</w:t>
            </w:r>
            <w:r>
              <w:rPr>
                <w:rFonts w:hint="eastAsia" w:ascii="Times New Roman" w:hAnsi="Times New Roman" w:cs="Times New Roman"/>
                <w:szCs w:val="21"/>
              </w:rPr>
              <w:t>830米至</w:t>
            </w:r>
            <w:r>
              <w:rPr>
                <w:rFonts w:hint="eastAsia" w:ascii="Times New Roman" w:hAnsi="Times New Roman" w:cs="Times New Roman"/>
                <w:szCs w:val="21"/>
                <w:lang w:val="en-US" w:eastAsia="zh-CN"/>
              </w:rPr>
              <w:t>+</w:t>
            </w:r>
            <w:r>
              <w:rPr>
                <w:rFonts w:hint="eastAsia" w:ascii="Times New Roman" w:hAnsi="Times New Roman" w:cs="Times New Roman"/>
                <w:szCs w:val="21"/>
              </w:rPr>
              <w:t>710米</w:t>
            </w:r>
          </w:p>
        </w:tc>
        <w:tc>
          <w:tcPr>
            <w:tcW w:w="1061" w:type="dxa"/>
            <w:vAlign w:val="center"/>
          </w:tcPr>
          <w:p>
            <w:pPr>
              <w:jc w:val="center"/>
              <w:rPr>
                <w:rFonts w:ascii="Times New Roman" w:hAnsi="Times New Roman" w:cs="Times New Roman"/>
                <w:szCs w:val="21"/>
              </w:rPr>
            </w:pPr>
            <w:r>
              <w:rPr>
                <w:rFonts w:hint="eastAsia" w:ascii="Times New Roman" w:hAnsi="Times New Roman" w:cs="Times New Roman"/>
                <w:szCs w:val="21"/>
              </w:rPr>
              <w:t>95万吨/年</w:t>
            </w:r>
          </w:p>
        </w:tc>
        <w:tc>
          <w:tcPr>
            <w:tcW w:w="851" w:type="dxa"/>
            <w:vAlign w:val="center"/>
          </w:tcPr>
          <w:p>
            <w:pPr>
              <w:jc w:val="center"/>
              <w:rPr>
                <w:rFonts w:ascii="Times New Roman" w:hAnsi="Times New Roman" w:cs="Times New Roman"/>
                <w:szCs w:val="21"/>
              </w:rPr>
            </w:pPr>
            <w:r>
              <w:rPr>
                <w:rFonts w:hint="eastAsia" w:ascii="Times New Roman" w:hAnsi="Times New Roman" w:cs="Times New Roman"/>
                <w:szCs w:val="21"/>
              </w:rPr>
              <w:t>18.7</w:t>
            </w:r>
          </w:p>
        </w:tc>
        <w:tc>
          <w:tcPr>
            <w:tcW w:w="1134" w:type="dxa"/>
            <w:vAlign w:val="center"/>
          </w:tcPr>
          <w:p>
            <w:pPr>
              <w:jc w:val="center"/>
              <w:rPr>
                <w:rFonts w:ascii="Times New Roman" w:hAnsi="Times New Roman" w:cs="Times New Roman"/>
                <w:szCs w:val="21"/>
              </w:rPr>
            </w:pPr>
            <w:r>
              <w:rPr>
                <w:rFonts w:hint="eastAsia" w:ascii="Times New Roman" w:hAnsi="Times New Roman" w:cs="Times New Roman"/>
                <w:szCs w:val="21"/>
              </w:rPr>
              <w:t>6783.4</w:t>
            </w:r>
          </w:p>
        </w:tc>
        <w:tc>
          <w:tcPr>
            <w:tcW w:w="923" w:type="dxa"/>
            <w:vAlign w:val="center"/>
          </w:tcPr>
          <w:p>
            <w:pPr>
              <w:jc w:val="center"/>
              <w:rPr>
                <w:rFonts w:ascii="Times New Roman" w:hAnsi="Times New Roman" w:cs="Times New Roman"/>
                <w:szCs w:val="21"/>
              </w:rPr>
            </w:pPr>
            <w:r>
              <w:rPr>
                <w:rFonts w:hint="eastAsia" w:ascii="Times New Roman" w:hAnsi="Times New Roman" w:cs="Times New Roman"/>
                <w:szCs w:val="21"/>
              </w:rPr>
              <w:t>1360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3603" w:type="dxa"/>
            <w:gridSpan w:val="12"/>
            <w:vAlign w:val="center"/>
          </w:tcPr>
          <w:p>
            <w:pPr>
              <w:jc w:val="left"/>
              <w:rPr>
                <w:rFonts w:ascii="Times New Roman" w:hAnsi="Times New Roman" w:cs="Times New Roman"/>
                <w:szCs w:val="21"/>
              </w:rPr>
            </w:pPr>
            <w:r>
              <w:rPr>
                <w:rFonts w:hint="eastAsia" w:ascii="Times New Roman" w:hAnsi="Times New Roman" w:cs="Times New Roman"/>
                <w:szCs w:val="21"/>
              </w:rPr>
              <w:t>备注：</w:t>
            </w:r>
            <w:r>
              <w:rPr>
                <w:rFonts w:hint="eastAsia" w:ascii="Times New Roman" w:hAnsi="Times New Roman" w:cs="Times New Roman"/>
                <w:i w:val="0"/>
                <w:sz w:val="24"/>
                <w:szCs w:val="24"/>
                <w:u w:val="none"/>
              </w:rPr>
              <w:t xml:space="preserve"> </w:t>
            </w:r>
            <w:r>
              <w:rPr>
                <w:rFonts w:hint="eastAsia" w:ascii="Times New Roman" w:hAnsi="Times New Roman" w:cs="Times New Roman"/>
                <w:i w:val="0"/>
                <w:sz w:val="24"/>
                <w:szCs w:val="24"/>
                <w:u w:val="single"/>
              </w:rPr>
              <w:t xml:space="preserve"> </w:t>
            </w:r>
            <w:r>
              <w:rPr>
                <w:rFonts w:hint="eastAsia" w:ascii="Times New Roman" w:hAnsi="Times New Roman" w:cs="Times New Roman"/>
                <w:i w:val="0"/>
                <w:sz w:val="24"/>
                <w:szCs w:val="24"/>
                <w:u w:val="single"/>
                <w:lang w:val="en-US" w:eastAsia="zh-CN"/>
              </w:rPr>
              <w:t xml:space="preserve"> / </w:t>
            </w:r>
            <w:r>
              <w:rPr>
                <w:rFonts w:hint="eastAsia" w:ascii="Times New Roman" w:hAnsi="Times New Roman" w:cs="Times New Roman"/>
                <w:i w:val="0"/>
                <w:sz w:val="24"/>
                <w:szCs w:val="24"/>
                <w:u w:val="none"/>
              </w:rPr>
              <w:t xml:space="preserve">              </w:t>
            </w:r>
          </w:p>
        </w:tc>
      </w:tr>
    </w:tbl>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二、出让人：</w:t>
      </w:r>
      <w:r>
        <w:rPr>
          <w:rFonts w:hint="eastAsia" w:ascii="Times New Roman" w:hAnsi="Times New Roman" w:cs="Times New Roman"/>
          <w:b w:val="0"/>
          <w:bCs/>
          <w:sz w:val="24"/>
          <w:szCs w:val="24"/>
        </w:rPr>
        <w:t>重庆市南川区规划和自然资源局</w:t>
      </w:r>
      <w:r>
        <w:rPr>
          <w:rFonts w:ascii="Times New Roman" w:hAnsi="Times New Roman" w:cs="Times New Roman"/>
          <w:sz w:val="24"/>
          <w:szCs w:val="24"/>
        </w:rPr>
        <w:t>，地址：</w:t>
      </w:r>
      <w:r>
        <w:rPr>
          <w:rFonts w:hint="eastAsia" w:ascii="Times New Roman" w:hAnsi="Times New Roman" w:cs="Times New Roman"/>
          <w:sz w:val="24"/>
          <w:szCs w:val="24"/>
        </w:rPr>
        <w:t>南川区南大街89号</w:t>
      </w:r>
      <w:r>
        <w:rPr>
          <w:rFonts w:ascii="Times New Roman" w:hAnsi="Times New Roman" w:cs="Times New Roman"/>
          <w:sz w:val="24"/>
          <w:szCs w:val="24"/>
        </w:rPr>
        <w:t>，联系人：</w:t>
      </w:r>
      <w:r>
        <w:rPr>
          <w:rFonts w:hint="eastAsia" w:ascii="Times New Roman" w:hAnsi="Times New Roman" w:cs="Times New Roman"/>
          <w:sz w:val="24"/>
          <w:szCs w:val="24"/>
        </w:rPr>
        <w:t>王老师</w:t>
      </w:r>
      <w:r>
        <w:rPr>
          <w:rFonts w:ascii="Times New Roman" w:hAnsi="Times New Roman" w:cs="Times New Roman"/>
          <w:sz w:val="24"/>
          <w:szCs w:val="24"/>
        </w:rPr>
        <w:t>，联系电话：</w:t>
      </w:r>
      <w:r>
        <w:rPr>
          <w:rFonts w:hint="eastAsia" w:ascii="Times New Roman" w:hAnsi="Times New Roman" w:cs="Times New Roman"/>
          <w:sz w:val="24"/>
          <w:szCs w:val="24"/>
        </w:rPr>
        <w:t>023-71420530</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sz w:val="24"/>
          <w:szCs w:val="24"/>
        </w:rPr>
      </w:pPr>
      <w:r>
        <w:rPr>
          <w:rFonts w:ascii="Times New Roman" w:hAnsi="Times New Roman" w:cs="Times New Roman"/>
          <w:b/>
          <w:sz w:val="24"/>
          <w:szCs w:val="24"/>
        </w:rPr>
        <w:t>三、交易平台：</w:t>
      </w:r>
      <w:r>
        <w:rPr>
          <w:rFonts w:hint="eastAsia" w:ascii="Times New Roman" w:hAnsi="Times New Roman" w:cs="Times New Roman"/>
          <w:b w:val="0"/>
          <w:bCs/>
          <w:sz w:val="24"/>
          <w:szCs w:val="24"/>
        </w:rPr>
        <w:t>重庆市南川区公共资源综合交易中心</w:t>
      </w:r>
      <w:r>
        <w:rPr>
          <w:rFonts w:ascii="Times New Roman" w:hAnsi="Times New Roman" w:cs="Times New Roman"/>
          <w:sz w:val="24"/>
          <w:szCs w:val="24"/>
        </w:rPr>
        <w:t>，地址：</w:t>
      </w:r>
      <w:r>
        <w:rPr>
          <w:rFonts w:hint="eastAsia" w:ascii="Times New Roman" w:hAnsi="Times New Roman" w:cs="Times New Roman"/>
          <w:sz w:val="24"/>
          <w:szCs w:val="24"/>
        </w:rPr>
        <w:t>重庆市南川区商务中心右副楼2楼</w:t>
      </w:r>
      <w:r>
        <w:rPr>
          <w:rFonts w:ascii="Times New Roman" w:hAnsi="Times New Roman" w:cs="Times New Roman"/>
          <w:sz w:val="24"/>
          <w:szCs w:val="24"/>
        </w:rPr>
        <w:t>，联系人：</w:t>
      </w:r>
      <w:r>
        <w:rPr>
          <w:rFonts w:hint="eastAsia" w:ascii="Times New Roman" w:hAnsi="Times New Roman" w:cs="Times New Roman"/>
          <w:sz w:val="24"/>
          <w:szCs w:val="24"/>
        </w:rPr>
        <w:t>赵老师</w:t>
      </w:r>
      <w:r>
        <w:rPr>
          <w:rFonts w:ascii="Times New Roman" w:hAnsi="Times New Roman" w:cs="Times New Roman"/>
          <w:sz w:val="24"/>
          <w:szCs w:val="24"/>
        </w:rPr>
        <w:t>，联系电话：</w:t>
      </w:r>
      <w:r>
        <w:rPr>
          <w:rFonts w:hint="eastAsia" w:ascii="Times New Roman" w:hAnsi="Times New Roman" w:cs="Times New Roman"/>
          <w:sz w:val="24"/>
          <w:szCs w:val="24"/>
        </w:rPr>
        <w:t>023-71413398</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四、竞买人的资质条件：</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（一）竞买申请人须为营利法人；</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（二）竞买申请人属于以下情形之一的不得参与竞买：</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1.在自然资源部矿业权人勘查开采信息公示系统的“矿业权人异常名录”“矿业权人严重违法名单”内；</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2.通过“信用中国”查询，在自然资源部联合惩戒备忘录或重庆市信用惩戒严重失信主体“黑名单”内限制禁止参与矿业权出让的；</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3.被吊销采矿许可证之日起2年内。</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五、出让方式及交易的时间、地点</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出让方式：</w:t>
      </w:r>
      <w:r>
        <w:rPr>
          <w:rFonts w:hint="eastAsia" w:ascii="Times New Roman" w:hAnsi="Times New Roman" w:cs="Times New Roman"/>
          <w:sz w:val="24"/>
          <w:szCs w:val="24"/>
        </w:rPr>
        <w:t>挂牌</w:t>
      </w:r>
      <w:r>
        <w:rPr>
          <w:rFonts w:ascii="Times New Roman" w:hAnsi="Times New Roman" w:cs="Times New Roman"/>
          <w:i w:val="0"/>
          <w:sz w:val="24"/>
          <w:szCs w:val="24"/>
          <w:u w:val="none"/>
        </w:rPr>
        <w:t>出让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公告时间：</w:t>
      </w:r>
      <w:r>
        <w:rPr>
          <w:rFonts w:hint="eastAsia" w:ascii="Times New Roman" w:hAnsi="Times New Roman" w:cs="Times New Roman"/>
          <w:sz w:val="24"/>
          <w:szCs w:val="24"/>
        </w:rPr>
        <w:t>2023年07月06日</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2023年08月02日</w:t>
      </w:r>
    </w:p>
    <w:p>
      <w:pPr>
        <w:spacing w:before="0" w:after="0" w:line="360" w:lineRule="exact"/>
        <w:ind w:firstLine="480" w:firstLineChars="200"/>
        <w:rPr>
          <w:rFonts w:ascii="Times New Roman" w:hAnsi="Times New Roman" w:cs="Times New Roman"/>
          <w:sz w:val="24"/>
          <w:szCs w:val="24"/>
        </w:rPr>
      </w:pPr>
      <w:r>
        <w:rPr>
          <w:rFonts w:hint="eastAsia" w:ascii="Times New Roman" w:hAnsi="Times New Roman" w:cs="Times New Roman"/>
          <w:sz w:val="24"/>
          <w:szCs w:val="24"/>
        </w:rPr>
        <w:t>挂牌</w:t>
      </w:r>
      <w:r>
        <w:rPr>
          <w:rFonts w:ascii="Times New Roman" w:hAnsi="Times New Roman" w:cs="Times New Roman"/>
          <w:sz w:val="24"/>
          <w:szCs w:val="24"/>
        </w:rPr>
        <w:t>时间：</w:t>
      </w:r>
      <w:r>
        <w:rPr>
          <w:rFonts w:hint="eastAsia" w:ascii="Times New Roman" w:hAnsi="Times New Roman" w:cs="Times New Roman"/>
          <w:sz w:val="24"/>
          <w:szCs w:val="24"/>
        </w:rPr>
        <w:t>2023年08月03日09时</w:t>
      </w:r>
      <w:r>
        <w:rPr>
          <w:rFonts w:ascii="Times New Roman" w:hAnsi="Times New Roman" w:cs="Times New Roman"/>
          <w:i w:val="0"/>
          <w:sz w:val="24"/>
          <w:szCs w:val="24"/>
          <w:u w:val="none"/>
        </w:rPr>
        <w:t>-</w:t>
      </w:r>
      <w:r>
        <w:rPr>
          <w:rFonts w:hint="eastAsia" w:ascii="Times New Roman" w:hAnsi="Times New Roman" w:cs="Times New Roman"/>
          <w:sz w:val="24"/>
          <w:szCs w:val="24"/>
        </w:rPr>
        <w:t>2023年08月16日17时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地点：</w:t>
      </w:r>
      <w:r>
        <w:rPr>
          <w:rFonts w:hint="eastAsia" w:ascii="Times New Roman" w:hAnsi="Times New Roman" w:cs="Times New Roman"/>
          <w:sz w:val="24"/>
          <w:szCs w:val="24"/>
        </w:rPr>
        <w:t>重庆市南川区商务中心右副楼2楼</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六、获取</w:t>
      </w:r>
      <w:r>
        <w:rPr>
          <w:rFonts w:hint="eastAsia" w:ascii="Times New Roman" w:hAnsi="Times New Roman" w:cs="Times New Roman"/>
          <w:b/>
          <w:sz w:val="24"/>
          <w:szCs w:val="24"/>
        </w:rPr>
        <w:t>竞买</w:t>
      </w:r>
      <w:r>
        <w:rPr>
          <w:rFonts w:ascii="Times New Roman" w:hAnsi="Times New Roman" w:cs="Times New Roman"/>
          <w:b/>
          <w:sz w:val="24"/>
          <w:szCs w:val="24"/>
        </w:rPr>
        <w:t>文件的途径和申请报名的起止时间及方式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（一）申请人可在报名期限内到</w:t>
      </w:r>
      <w:r>
        <w:rPr>
          <w:rFonts w:hint="eastAsia" w:ascii="Times New Roman" w:hAnsi="Times New Roman" w:cs="Times New Roman"/>
          <w:sz w:val="24"/>
          <w:szCs w:val="24"/>
        </w:rPr>
        <w:t>重庆市南川区公共资源综合交易中心</w:t>
      </w:r>
      <w:r>
        <w:rPr>
          <w:rFonts w:ascii="Times New Roman" w:hAnsi="Times New Roman" w:cs="Times New Roman"/>
          <w:sz w:val="24"/>
          <w:szCs w:val="24"/>
        </w:rPr>
        <w:t>领取出让相关资料，也可在报名期限内登录</w:t>
      </w:r>
      <w:r>
        <w:rPr>
          <w:rFonts w:hint="eastAsia" w:ascii="Times New Roman" w:hAnsi="Times New Roman" w:cs="Times New Roman"/>
          <w:sz w:val="24"/>
          <w:szCs w:val="24"/>
        </w:rPr>
        <w:t>重庆市南川区公共资源综合交易中心</w:t>
      </w:r>
      <w:r>
        <w:rPr>
          <w:rFonts w:hint="eastAsia" w:ascii="Times New Roman" w:hAnsi="Times New Roman" w:cs="Times New Roman"/>
          <w:sz w:val="24"/>
          <w:szCs w:val="24"/>
          <w:lang w:val="en-US" w:eastAsia="zh-CN"/>
        </w:rPr>
        <w:t xml:space="preserve"> </w:t>
      </w:r>
      <w:r>
        <w:rPr>
          <w:rFonts w:hint="eastAsia" w:ascii="Times New Roman" w:hAnsi="Times New Roman" w:cs="Times New Roman"/>
          <w:sz w:val="24"/>
          <w:szCs w:val="24"/>
        </w:rPr>
        <w:t>https://www.cqggzy.com</w:t>
      </w:r>
      <w:r>
        <w:rPr>
          <w:rFonts w:ascii="Times New Roman" w:hAnsi="Times New Roman" w:cs="Times New Roman"/>
          <w:sz w:val="24"/>
          <w:szCs w:val="24"/>
        </w:rPr>
        <w:t>，进入重庆市国有建设用地使用权和矿业权网上交易系统</w:t>
      </w:r>
      <w:r>
        <w:rPr>
          <w:rFonts w:ascii="Times New Roman" w:hAnsi="Times New Roman" w:cs="Times New Roman"/>
          <w:i/>
          <w:sz w:val="24"/>
          <w:szCs w:val="24"/>
          <w:u w:val="single"/>
        </w:rPr>
        <w:t>（网址：https://td.cqggzy.com/）</w:t>
      </w:r>
      <w:r>
        <w:rPr>
          <w:rFonts w:ascii="Times New Roman" w:hAnsi="Times New Roman" w:cs="Times New Roman"/>
          <w:sz w:val="24"/>
          <w:szCs w:val="24"/>
        </w:rPr>
        <w:t>，查阅、下载出让资料。</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（二）报名时限：</w:t>
      </w:r>
      <w:r>
        <w:rPr>
          <w:rFonts w:hint="eastAsia" w:ascii="Times New Roman" w:hAnsi="Times New Roman" w:cs="Times New Roman"/>
          <w:sz w:val="24"/>
          <w:szCs w:val="24"/>
        </w:rPr>
        <w:t>2023年07月06日09时</w:t>
      </w:r>
      <w:r>
        <w:rPr>
          <w:rFonts w:ascii="Times New Roman" w:hAnsi="Times New Roman" w:cs="Times New Roman"/>
          <w:i w:val="0"/>
          <w:sz w:val="24"/>
          <w:szCs w:val="24"/>
          <w:u w:val="none"/>
        </w:rPr>
        <w:t>－</w:t>
      </w:r>
      <w:r>
        <w:rPr>
          <w:rFonts w:hint="default" w:ascii="Times New Roman" w:hAnsi="Times New Roman" w:cs="Times New Roman"/>
          <w:i w:val="0"/>
          <w:sz w:val="24"/>
          <w:szCs w:val="24"/>
          <w:u w:val="none"/>
        </w:rPr>
        <w:t>2023年08月02日17时</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（三）报名方式和程序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本次公开出让的采矿权采取</w:t>
      </w:r>
      <w:r>
        <w:rPr>
          <w:rFonts w:hint="eastAsia" w:ascii="Times New Roman" w:hAnsi="Times New Roman" w:cs="Times New Roman"/>
          <w:i w:val="0"/>
          <w:sz w:val="24"/>
          <w:szCs w:val="24"/>
          <w:u w:val="none"/>
          <w:lang w:val="en-US" w:eastAsia="zh-CN"/>
        </w:rPr>
        <w:t>现场报名</w:t>
      </w:r>
      <w:r>
        <w:rPr>
          <w:rFonts w:ascii="Times New Roman" w:hAnsi="Times New Roman" w:cs="Times New Roman"/>
          <w:sz w:val="24"/>
          <w:szCs w:val="24"/>
        </w:rPr>
        <w:t>方式：</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现场报名：申请人可于报名期限内足额交纳竞买保证金到指定账户，并持报名资料到</w:t>
      </w:r>
      <w:r>
        <w:rPr>
          <w:rFonts w:hint="eastAsia" w:ascii="Times New Roman" w:hAnsi="Times New Roman" w:cs="Times New Roman"/>
          <w:sz w:val="24"/>
          <w:szCs w:val="24"/>
        </w:rPr>
        <w:t>重庆市南川区公共资源综合交易中心</w:t>
      </w:r>
      <w:r>
        <w:rPr>
          <w:rFonts w:ascii="Times New Roman" w:hAnsi="Times New Roman" w:cs="Times New Roman"/>
          <w:sz w:val="24"/>
          <w:szCs w:val="24"/>
        </w:rPr>
        <w:t>提交报名申请。</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网上报名：申请人可于报名期限内登录重庆市国有建设用地使用权和矿业权网上交易系统，按规定提交竞买申请，在报名期限内足额交纳竞买保证金，提交报名资料电子档。</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（四）保证金的交纳详见《</w:t>
      </w:r>
      <w:r>
        <w:rPr>
          <w:rFonts w:hint="eastAsia" w:ascii="Times New Roman" w:hAnsi="Times New Roman" w:cs="Times New Roman"/>
          <w:sz w:val="24"/>
          <w:szCs w:val="24"/>
        </w:rPr>
        <w:t>出让文件</w:t>
      </w:r>
      <w:r>
        <w:rPr>
          <w:rFonts w:ascii="Times New Roman" w:hAnsi="Times New Roman" w:cs="Times New Roman"/>
          <w:sz w:val="24"/>
          <w:szCs w:val="24"/>
        </w:rPr>
        <w:t>》</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七、确定竞得人的标准和方法</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sz w:val="24"/>
          <w:szCs w:val="24"/>
        </w:rPr>
        <w:t>本次</w:t>
      </w:r>
      <w:r>
        <w:rPr>
          <w:rFonts w:hint="eastAsia" w:ascii="Times New Roman" w:hAnsi="Times New Roman" w:cs="Times New Roman"/>
          <w:sz w:val="24"/>
          <w:szCs w:val="24"/>
        </w:rPr>
        <w:t>挂牌</w:t>
      </w:r>
      <w:r>
        <w:rPr>
          <w:rFonts w:ascii="Times New Roman" w:hAnsi="Times New Roman" w:cs="Times New Roman"/>
          <w:sz w:val="24"/>
          <w:szCs w:val="24"/>
        </w:rPr>
        <w:t>出让为无底价，采用增价</w:t>
      </w:r>
      <w:r>
        <w:rPr>
          <w:rFonts w:hint="eastAsia" w:ascii="Times New Roman" w:hAnsi="Times New Roman" w:cs="Times New Roman"/>
          <w:sz w:val="24"/>
          <w:szCs w:val="24"/>
        </w:rPr>
        <w:t>竞价</w:t>
      </w:r>
      <w:r>
        <w:rPr>
          <w:rFonts w:ascii="Times New Roman" w:hAnsi="Times New Roman" w:cs="Times New Roman"/>
          <w:sz w:val="24"/>
          <w:szCs w:val="24"/>
        </w:rPr>
        <w:t>的方式，按照价高者得原则确定竞得人。</w:t>
      </w:r>
      <w:r>
        <w:rPr>
          <w:rFonts w:hint="eastAsia" w:ascii="Times New Roman" w:hAnsi="Times New Roman" w:cs="Times New Roman"/>
          <w:sz w:val="24"/>
          <w:szCs w:val="24"/>
        </w:rPr>
        <w:t>挂牌</w:t>
      </w:r>
      <w:r>
        <w:rPr>
          <w:rFonts w:ascii="Times New Roman" w:hAnsi="Times New Roman" w:cs="Times New Roman"/>
          <w:sz w:val="24"/>
          <w:szCs w:val="24"/>
        </w:rPr>
        <w:t>成交后的竞得人按规定即时签订《成交确认书》，成交结果在相关网站公示10个工作日。</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八、风险提示</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一）采矿权投资存在有不可预计的风险，包括出让文件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出让文件已完全认可并自愿承担所有风险；</w:t>
      </w:r>
    </w:p>
    <w:p>
      <w:pPr>
        <w:spacing w:before="0" w:after="0" w:line="360" w:lineRule="exact"/>
        <w:ind w:firstLine="480" w:firstLineChars="200"/>
        <w:rPr>
          <w:rFonts w:ascii="Times New Roman" w:hAnsi="Times New Roman" w:cs="Times New Roman"/>
          <w:sz w:val="24"/>
          <w:szCs w:val="24"/>
        </w:rPr>
      </w:pPr>
      <w:r>
        <w:rPr>
          <w:rFonts w:ascii="Times New Roman" w:hAnsi="Times New Roman" w:cs="Times New Roman"/>
          <w:kern w:val="0"/>
          <w:sz w:val="24"/>
          <w:szCs w:val="24"/>
        </w:rPr>
        <w:t>（二）有关该宗采矿权的用地、用水、用电、公路、环保、基础设施等工作，由竞得人自行负责解决并依法完善相关手续；</w:t>
      </w:r>
    </w:p>
    <w:p>
      <w:pPr>
        <w:spacing w:before="0" w:after="0" w:line="360" w:lineRule="exact"/>
        <w:ind w:firstLine="480" w:firstLineChars="200"/>
        <w:rPr>
          <w:rFonts w:ascii="Times New Roman" w:hAnsi="Times New Roman" w:cs="Times New Roman"/>
          <w:kern w:val="0"/>
          <w:sz w:val="24"/>
          <w:szCs w:val="24"/>
        </w:rPr>
      </w:pPr>
      <w:r>
        <w:rPr>
          <w:rFonts w:ascii="Times New Roman" w:hAnsi="Times New Roman" w:cs="Times New Roman"/>
          <w:kern w:val="0"/>
          <w:sz w:val="24"/>
          <w:szCs w:val="24"/>
        </w:rPr>
        <w:t>（三）若竞得人竞得该宗采矿权后，在办理采矿登记</w:t>
      </w:r>
      <w:r>
        <w:rPr>
          <w:rFonts w:hint="eastAsia" w:ascii="Times New Roman" w:hAnsi="Times New Roman" w:cs="Times New Roman"/>
          <w:kern w:val="0"/>
          <w:sz w:val="24"/>
          <w:szCs w:val="24"/>
        </w:rPr>
        <w:t>前</w:t>
      </w:r>
      <w:r>
        <w:rPr>
          <w:rFonts w:ascii="Times New Roman" w:hAnsi="Times New Roman" w:cs="Times New Roman"/>
          <w:kern w:val="0"/>
          <w:sz w:val="24"/>
          <w:szCs w:val="24"/>
        </w:rPr>
        <w:t>进行安全、环境评价等认定为不适宜开采的，该宗采矿权按不成交处理。</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九、对交易矿业权异议的处理方式</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对本次出让的</w:t>
      </w:r>
      <w:r>
        <w:rPr>
          <w:rFonts w:hint="eastAsia" w:ascii="Times New Roman" w:hAnsi="Times New Roman" w:cs="Times New Roman"/>
          <w:color w:val="222222"/>
          <w:sz w:val="24"/>
          <w:szCs w:val="24"/>
        </w:rPr>
        <w:t>采</w:t>
      </w:r>
      <w:r>
        <w:rPr>
          <w:rFonts w:ascii="Times New Roman" w:hAnsi="Times New Roman" w:cs="Times New Roman"/>
          <w:color w:val="222222"/>
          <w:sz w:val="24"/>
          <w:szCs w:val="24"/>
        </w:rPr>
        <w:t>矿权存有异议的，应在公告期截止前以书面方式向</w:t>
      </w:r>
      <w:r>
        <w:rPr>
          <w:rFonts w:hint="default" w:ascii="Times New Roman" w:hAnsi="Times New Roman" w:cs="Times New Roman"/>
          <w:sz w:val="24"/>
          <w:szCs w:val="24"/>
        </w:rPr>
        <w:t>重庆市南川区规划和自然资源局</w:t>
      </w:r>
      <w:r>
        <w:rPr>
          <w:rFonts w:ascii="Times New Roman" w:hAnsi="Times New Roman" w:cs="Times New Roman"/>
          <w:color w:val="222222"/>
          <w:sz w:val="24"/>
          <w:szCs w:val="24"/>
        </w:rPr>
        <w:t>提出；对出让交易程序存有异议的，应在</w:t>
      </w:r>
      <w:r>
        <w:rPr>
          <w:rFonts w:hint="eastAsia" w:ascii="Times New Roman" w:hAnsi="Times New Roman" w:cs="Times New Roman"/>
          <w:color w:val="222222"/>
          <w:sz w:val="24"/>
          <w:szCs w:val="24"/>
        </w:rPr>
        <w:t>结果公示</w:t>
      </w:r>
      <w:r>
        <w:rPr>
          <w:rFonts w:ascii="Times New Roman" w:hAnsi="Times New Roman" w:cs="Times New Roman"/>
          <w:color w:val="222222"/>
          <w:sz w:val="24"/>
          <w:szCs w:val="24"/>
        </w:rPr>
        <w:t>期截止前以书面方式向</w:t>
      </w:r>
      <w:r>
        <w:rPr>
          <w:rFonts w:hint="eastAsia" w:ascii="Times New Roman" w:hAnsi="Times New Roman" w:cs="Times New Roman"/>
          <w:color w:val="222222"/>
          <w:sz w:val="24"/>
          <w:szCs w:val="24"/>
        </w:rPr>
        <w:t>重庆市南川区公共资源综合交易中心</w:t>
      </w:r>
      <w:r>
        <w:rPr>
          <w:rFonts w:ascii="Times New Roman" w:hAnsi="Times New Roman" w:cs="Times New Roman"/>
          <w:color w:val="222222"/>
          <w:sz w:val="24"/>
          <w:szCs w:val="24"/>
        </w:rPr>
        <w:t>提出。</w:t>
      </w:r>
      <w:r>
        <w:rPr>
          <w:rFonts w:ascii="Times New Roman" w:hAnsi="Times New Roman" w:cs="Times New Roman"/>
          <w:kern w:val="0"/>
          <w:sz w:val="24"/>
          <w:szCs w:val="24"/>
        </w:rPr>
        <w:t>根据所提异议的具体情况，按照</w:t>
      </w:r>
      <w:r>
        <w:rPr>
          <w:rFonts w:ascii="Times New Roman" w:hAnsi="Times New Roman" w:cs="Times New Roman"/>
          <w:sz w:val="24"/>
          <w:szCs w:val="24"/>
        </w:rPr>
        <w:t>《</w:t>
      </w:r>
      <w:r>
        <w:rPr>
          <w:rFonts w:hint="eastAsia" w:ascii="Times New Roman" w:hAnsi="Times New Roman" w:cs="Times New Roman"/>
          <w:kern w:val="0"/>
          <w:sz w:val="24"/>
          <w:szCs w:val="24"/>
        </w:rPr>
        <w:t>矿业权出让交易规则</w:t>
      </w:r>
      <w:r>
        <w:rPr>
          <w:rFonts w:ascii="Times New Roman" w:hAnsi="Times New Roman" w:cs="Times New Roman"/>
          <w:sz w:val="24"/>
          <w:szCs w:val="24"/>
        </w:rPr>
        <w:t>》等相关规定进行妥善处置。</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十、违约责任、公共资源交易领域失信联合惩戒相关提示</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一）对违反公共资源交易法律法规，违背诚实信用原则的竞买人，将按照《关于对公共资源领域严重失信主体开展联合惩戒备忘录》（发改法规〔2018〕457号）的规定，对相关失信企业和失信个人实施联合惩戒并按照公告约定承担相应的违约责任。</w:t>
      </w:r>
    </w:p>
    <w:p>
      <w:pPr>
        <w:spacing w:before="0" w:after="0" w:line="360" w:lineRule="exact"/>
        <w:ind w:firstLine="480" w:firstLineChars="200"/>
        <w:rPr>
          <w:rFonts w:ascii="Times New Roman" w:hAnsi="Times New Roman" w:cs="Times New Roman"/>
          <w:color w:val="222222"/>
          <w:sz w:val="24"/>
          <w:szCs w:val="24"/>
        </w:rPr>
      </w:pPr>
      <w:r>
        <w:rPr>
          <w:rFonts w:ascii="Times New Roman" w:hAnsi="Times New Roman" w:cs="Times New Roman"/>
          <w:color w:val="222222"/>
          <w:sz w:val="24"/>
          <w:szCs w:val="24"/>
        </w:rPr>
        <w:t>（二）</w:t>
      </w:r>
      <w:r>
        <w:rPr>
          <w:rFonts w:hint="eastAsia" w:ascii="Times New Roman" w:hAnsi="Times New Roman" w:cs="Times New Roman"/>
          <w:color w:val="222222"/>
          <w:sz w:val="24"/>
          <w:szCs w:val="24"/>
        </w:rPr>
        <w:t>有下列情形之一的，视为竞买人、竞得人违约，竞得结果无效，并将其列入失信联合惩戒名单并承担相当于竞买保证金的违约金，出让方有权不再签订出让合同或解除合同：</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1.竞买人之间串通报价，损害国家利益、社会公共利益或者他人合法权益的；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2.竞买人弄虚作假，骗取交易资格或竞得的；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3.采取行贿或其他不正当手段竞得的；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4.竞得人逾期不签订或者拒绝签订成交确认书的；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5.竞得人逾期不签订或者拒绝签订出让合同的；</w:t>
      </w:r>
    </w:p>
    <w:p>
      <w:pPr>
        <w:spacing w:before="0" w:after="0" w:line="360" w:lineRule="exact"/>
        <w:ind w:firstLine="480" w:firstLineChars="200"/>
        <w:rPr>
          <w:rFonts w:ascii="Times New Roman" w:hAnsi="Times New Roman" w:cs="Times New Roman"/>
          <w:color w:val="222222"/>
          <w:sz w:val="24"/>
          <w:szCs w:val="24"/>
        </w:rPr>
      </w:pPr>
      <w:r>
        <w:rPr>
          <w:rFonts w:hint="eastAsia" w:ascii="Times New Roman" w:hAnsi="Times New Roman" w:cs="Times New Roman"/>
          <w:color w:val="222222"/>
          <w:sz w:val="24"/>
          <w:szCs w:val="24"/>
        </w:rPr>
        <w:t>6.其他依法应当认定为违约的情形。</w:t>
      </w:r>
    </w:p>
    <w:p>
      <w:pPr>
        <w:spacing w:before="0" w:after="0" w:line="360" w:lineRule="exact"/>
        <w:ind w:firstLine="482" w:firstLineChars="200"/>
        <w:rPr>
          <w:rFonts w:ascii="Times New Roman" w:hAnsi="Times New Roman" w:cs="Times New Roman"/>
          <w:b/>
          <w:sz w:val="24"/>
          <w:szCs w:val="24"/>
        </w:rPr>
      </w:pPr>
      <w:r>
        <w:rPr>
          <w:rFonts w:ascii="Times New Roman" w:hAnsi="Times New Roman" w:cs="Times New Roman"/>
          <w:b/>
          <w:sz w:val="24"/>
          <w:szCs w:val="24"/>
        </w:rPr>
        <w:t>十一、其他重要提示</w:t>
      </w:r>
    </w:p>
    <w:p>
      <w:pPr>
        <w:spacing w:before="0" w:after="0" w:line="360" w:lineRule="exact"/>
        <w:ind w:firstLine="480" w:firstLineChars="200"/>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（一）该采矿权为</w:t>
      </w:r>
      <w:r>
        <w:rPr>
          <w:rFonts w:hint="eastAsia" w:cs="Times New Roman" w:asciiTheme="minorEastAsia" w:hAnsiTheme="minorEastAsia"/>
          <w:kern w:val="0"/>
          <w:sz w:val="24"/>
          <w:szCs w:val="24"/>
          <w:lang w:val="en-US" w:eastAsia="zh-CN"/>
        </w:rPr>
        <w:t>已建</w:t>
      </w:r>
      <w:r>
        <w:rPr>
          <w:rFonts w:hint="eastAsia" w:cs="Times New Roman" w:asciiTheme="minorEastAsia" w:hAnsiTheme="minorEastAsia"/>
          <w:kern w:val="0"/>
          <w:sz w:val="24"/>
          <w:szCs w:val="24"/>
        </w:rPr>
        <w:t>矿山。</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（二）</w:t>
      </w:r>
      <w:r>
        <w:rPr>
          <w:rFonts w:cs="Times New Roman" w:asciiTheme="minorEastAsia" w:hAnsiTheme="minorEastAsia"/>
          <w:kern w:val="0"/>
          <w:sz w:val="24"/>
          <w:szCs w:val="24"/>
        </w:rPr>
        <w:t>竞得人须自行或委托编制矿山地质环境恢复治理和土地复垦方案并通过审查，同时按照《矿山地质环境保护规定》等相关规定履行矿山地质环境保护相关义务。</w:t>
      </w:r>
    </w:p>
    <w:p>
      <w:pPr>
        <w:spacing w:before="0" w:after="0" w:line="360" w:lineRule="exact"/>
        <w:ind w:firstLine="480" w:firstLineChars="200"/>
        <w:rPr>
          <w:rFonts w:cs="Times New Roman" w:asciiTheme="minorEastAsia" w:hAnsiTheme="minorEastAsia"/>
          <w:kern w:val="0"/>
          <w:sz w:val="24"/>
          <w:szCs w:val="24"/>
        </w:rPr>
      </w:pPr>
      <w:r>
        <w:rPr>
          <w:rFonts w:hint="eastAsia" w:cs="Times New Roman" w:asciiTheme="minorEastAsia" w:hAnsiTheme="minorEastAsia"/>
          <w:kern w:val="0"/>
          <w:sz w:val="24"/>
          <w:szCs w:val="24"/>
        </w:rPr>
        <w:t>（三）竞得人必须按绿色矿山标准要求进行矿山规划、设计、建设和运营管理，确保矿山环境面貌、开发利用方式、资源节约集约利用、现代化矿山建设、矿地和谐和企业文化等各方面达到绿色矿山建设标准，并在矿山投产时同步完成绿色矿山建设。</w:t>
      </w:r>
    </w:p>
    <w:p>
      <w:pPr>
        <w:keepNext w:val="0"/>
        <w:keepLines w:val="0"/>
        <w:pageBreakBefore w:val="0"/>
        <w:widowControl w:val="0"/>
        <w:kinsoku/>
        <w:wordWrap/>
        <w:overflowPunct/>
        <w:topLinePunct w:val="0"/>
        <w:autoSpaceDE/>
        <w:autoSpaceDN/>
        <w:bidi w:val="0"/>
        <w:adjustRightInd/>
        <w:snapToGrid/>
        <w:spacing w:before="0" w:after="0" w:line="360" w:lineRule="exact"/>
        <w:ind w:firstLine="480" w:firstLineChars="200"/>
        <w:textAlignment w:val="auto"/>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w:t>
      </w:r>
      <w:r>
        <w:rPr>
          <w:rFonts w:hint="eastAsia" w:cs="Times New Roman" w:asciiTheme="minorEastAsia" w:hAnsiTheme="minorEastAsia"/>
          <w:kern w:val="0"/>
          <w:sz w:val="24"/>
          <w:szCs w:val="24"/>
          <w:lang w:val="en-US" w:eastAsia="zh-CN"/>
        </w:rPr>
        <w:t>四</w:t>
      </w:r>
      <w:r>
        <w:rPr>
          <w:rFonts w:hint="eastAsia" w:cs="Times New Roman" w:asciiTheme="minorEastAsia" w:hAnsiTheme="minorEastAsia"/>
          <w:kern w:val="0"/>
          <w:sz w:val="24"/>
          <w:szCs w:val="24"/>
        </w:rPr>
        <w:t>）该矿区范围内原剩余资源储量627.9万吨未纳入本次公开出让，成交确认后，原剩余资源储量按照2241.603万元补偿给原采矿权人，开采权利归新竞得人所有，若原已建矿山采矿权人竞得，可以不支付此费用。根据出让前期报告等资料，矿区范围内预计总可采资源储量1874.7万吨。</w:t>
      </w:r>
    </w:p>
    <w:p>
      <w:pPr>
        <w:keepNext w:val="0"/>
        <w:keepLines w:val="0"/>
        <w:pageBreakBefore w:val="0"/>
        <w:widowControl w:val="0"/>
        <w:kinsoku/>
        <w:wordWrap/>
        <w:overflowPunct/>
        <w:topLinePunct w:val="0"/>
        <w:autoSpaceDE/>
        <w:autoSpaceDN/>
        <w:bidi w:val="0"/>
        <w:adjustRightInd/>
        <w:snapToGrid/>
        <w:spacing w:before="0" w:after="0" w:line="360" w:lineRule="exact"/>
        <w:ind w:firstLine="480" w:firstLineChars="200"/>
        <w:textAlignment w:val="auto"/>
        <w:rPr>
          <w:rFonts w:hint="eastAsia" w:cs="Times New Roman" w:asciiTheme="minorEastAsia" w:hAnsiTheme="minorEastAsia"/>
          <w:kern w:val="0"/>
          <w:sz w:val="24"/>
          <w:szCs w:val="24"/>
        </w:rPr>
      </w:pPr>
      <w:r>
        <w:rPr>
          <w:rFonts w:hint="eastAsia" w:cs="Times New Roman" w:asciiTheme="minorEastAsia" w:hAnsiTheme="minorEastAsia"/>
          <w:kern w:val="0"/>
          <w:sz w:val="24"/>
          <w:szCs w:val="24"/>
        </w:rPr>
        <w:t>（</w:t>
      </w:r>
      <w:r>
        <w:rPr>
          <w:rFonts w:hint="eastAsia" w:cs="Times New Roman" w:asciiTheme="minorEastAsia" w:hAnsiTheme="minorEastAsia"/>
          <w:kern w:val="0"/>
          <w:sz w:val="24"/>
          <w:szCs w:val="24"/>
          <w:lang w:val="en-US" w:eastAsia="zh-CN"/>
        </w:rPr>
        <w:t>五</w:t>
      </w:r>
      <w:r>
        <w:rPr>
          <w:rFonts w:hint="eastAsia" w:cs="Times New Roman" w:asciiTheme="minorEastAsia" w:hAnsiTheme="minorEastAsia"/>
          <w:kern w:val="0"/>
          <w:sz w:val="24"/>
          <w:szCs w:val="24"/>
        </w:rPr>
        <w:t>）本宗采矿权前期工作成本为16.32万元，已列入采矿权出让收益起始价中，竞买人竞得后，不需单独支付该宗采矿权出让前期工作成本费用。由于本宗采矿权属增划资源矿山，将原采矿权人拥有的采矿权与拟扩大矿区范围的采矿权作为一个整体出让，涉及的资产评估内容和价值，是为解决原采矿权人之前投入、借贷资金等遗留问题。该采矿权若被新竞得人竞得，原采矿权人与新竞得人需在签订采矿权成交确认书起10个工作日内完成资产清点和移交，并在签订采矿权成交确认书起10个工作日内由新竞得人将资产评估价值及其它费用5110.48万元直接汇入原采矿权人账户中（收款单位：重庆市锦随建材有限责任公司，开户行：中国银行南川支行，帐号113035362875），若新竞得人未在签订采矿权成交确认书起10个工作日内将资产评估价值及其它费用5110.48万元直接汇入原采矿权人账户中，视为竞得人自动放弃采矿权，不退还竞买保证金”。</w:t>
      </w:r>
    </w:p>
    <w:p>
      <w:pPr>
        <w:keepNext w:val="0"/>
        <w:keepLines w:val="0"/>
        <w:pageBreakBefore w:val="0"/>
        <w:widowControl w:val="0"/>
        <w:kinsoku/>
        <w:wordWrap/>
        <w:overflowPunct/>
        <w:topLinePunct w:val="0"/>
        <w:autoSpaceDE/>
        <w:autoSpaceDN/>
        <w:bidi w:val="0"/>
        <w:adjustRightInd/>
        <w:snapToGrid/>
        <w:spacing w:before="0" w:after="0" w:line="360" w:lineRule="exact"/>
        <w:ind w:firstLine="480" w:firstLineChars="200"/>
        <w:textAlignment w:val="auto"/>
        <w:rPr>
          <w:rFonts w:hint="eastAsia" w:cs="Times New Roman" w:asciiTheme="minorEastAsia" w:hAnsiTheme="minorEastAsia"/>
          <w:i w:val="0"/>
          <w:kern w:val="0"/>
          <w:sz w:val="24"/>
          <w:szCs w:val="24"/>
          <w:u w:val="none"/>
        </w:rPr>
      </w:pPr>
      <w:r>
        <w:rPr>
          <w:rFonts w:hint="eastAsia" w:cs="Times New Roman" w:asciiTheme="minorEastAsia" w:hAnsiTheme="minorEastAsia"/>
          <w:kern w:val="0"/>
          <w:sz w:val="24"/>
          <w:szCs w:val="24"/>
        </w:rPr>
        <w:t>（</w:t>
      </w:r>
      <w:r>
        <w:rPr>
          <w:rFonts w:hint="eastAsia" w:cs="Times New Roman" w:asciiTheme="minorEastAsia" w:hAnsiTheme="minorEastAsia"/>
          <w:kern w:val="0"/>
          <w:sz w:val="24"/>
          <w:szCs w:val="24"/>
          <w:lang w:val="en-US" w:eastAsia="zh-CN"/>
        </w:rPr>
        <w:t>六</w:t>
      </w:r>
      <w:r>
        <w:rPr>
          <w:rFonts w:hint="eastAsia" w:cs="Times New Roman" w:asciiTheme="minorEastAsia" w:hAnsiTheme="minorEastAsia"/>
          <w:kern w:val="0"/>
          <w:sz w:val="24"/>
          <w:szCs w:val="24"/>
        </w:rPr>
        <w:t>）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本宗采矿权的《采矿权出让技术报告》、《采矿权评估报告》和《资产评估报告》已移交至南川区公共资源综合交易中心暂存，如有需要请自行查阅。在报名截止前一天，重庆市南川区规划和自然资源局会组织该宗采矿权</w:t>
      </w:r>
      <w:bookmarkStart w:id="0" w:name="_GoBack"/>
      <w:bookmarkEnd w:id="0"/>
      <w:r>
        <w:rPr>
          <w:rFonts w:hint="eastAsia" w:cs="Times New Roman" w:asciiTheme="minorEastAsia" w:hAnsiTheme="minorEastAsia"/>
          <w:kern w:val="0"/>
          <w:sz w:val="24"/>
          <w:szCs w:val="24"/>
        </w:rPr>
        <w:t>竞买人现场踏勘，详细了解矿区范围及周边民房、土地、山林权、交通运输、社群关系、资产评估主要范围等影响因素，竞买人若有需要，可报名参与现场踏勘。</w:t>
      </w:r>
    </w:p>
    <w:p>
      <w:pPr>
        <w:snapToGrid w:val="0"/>
        <w:spacing w:before="0" w:after="0" w:line="600" w:lineRule="exact"/>
        <w:jc w:val="right"/>
        <w:rPr>
          <w:rFonts w:ascii="Times New Roman" w:hAnsi="Times New Roman" w:eastAsia="方正仿宋_GBK" w:cs="Times New Roman"/>
        </w:rPr>
      </w:pPr>
      <w:r>
        <w:rPr>
          <w:rFonts w:hint="default" w:ascii="Times New Roman" w:hAnsi="Times New Roman" w:cs="Times New Roman"/>
          <w:sz w:val="24"/>
          <w:szCs w:val="24"/>
        </w:rPr>
        <w:t>重庆市南川区规划和自然资源局</w:t>
      </w:r>
    </w:p>
    <w:sectPr>
      <w:footerReference r:id="rId5" w:type="default"/>
      <w:footerReference r:id="rId6" w:type="even"/>
      <w:pgSz w:w="16838" w:h="11906" w:orient="landscape"/>
      <w:pgMar w:top="1474" w:right="1701" w:bottom="1474" w:left="170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rPr>
        <w:rStyle w:val="9"/>
      </w:rPr>
      <w:t>5</w:t>
    </w:r>
    <w:r>
      <w:fldChar w:fldCharType="end"/>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9"/>
      </w:rPr>
    </w:pPr>
    <w:r>
      <w:fldChar w:fldCharType="begin"/>
    </w:r>
    <w:r>
      <w:rPr>
        <w:rStyle w:val="9"/>
      </w:rPr>
      <w:instrText xml:space="preserve">PAGE  </w:instrText>
    </w:r>
    <w:r>
      <w:fldChar w:fldCharType="separate"/>
    </w:r>
    <w:r>
      <w:fldChar w:fldCharType="end"/>
    </w:r>
  </w:p>
  <w:p>
    <w:pPr>
      <w:pStyle w:val="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35E6"/>
    <w:rsid w:val="00000348"/>
    <w:rsid w:val="000007F6"/>
    <w:rsid w:val="00006FBA"/>
    <w:rsid w:val="00007639"/>
    <w:rsid w:val="00007AED"/>
    <w:rsid w:val="00007B58"/>
    <w:rsid w:val="000111C4"/>
    <w:rsid w:val="0001167B"/>
    <w:rsid w:val="00016451"/>
    <w:rsid w:val="0002099C"/>
    <w:rsid w:val="00023A4B"/>
    <w:rsid w:val="0003690A"/>
    <w:rsid w:val="000369A1"/>
    <w:rsid w:val="00037565"/>
    <w:rsid w:val="00040CE4"/>
    <w:rsid w:val="00041C41"/>
    <w:rsid w:val="000445AD"/>
    <w:rsid w:val="0004781C"/>
    <w:rsid w:val="00050E4A"/>
    <w:rsid w:val="00054463"/>
    <w:rsid w:val="00054770"/>
    <w:rsid w:val="000561BF"/>
    <w:rsid w:val="0007278F"/>
    <w:rsid w:val="00072C08"/>
    <w:rsid w:val="000762CB"/>
    <w:rsid w:val="00080264"/>
    <w:rsid w:val="0008363E"/>
    <w:rsid w:val="000902DC"/>
    <w:rsid w:val="00090C4E"/>
    <w:rsid w:val="00092AEA"/>
    <w:rsid w:val="00092F78"/>
    <w:rsid w:val="000961A9"/>
    <w:rsid w:val="000A5136"/>
    <w:rsid w:val="000A6268"/>
    <w:rsid w:val="000B2203"/>
    <w:rsid w:val="000B6019"/>
    <w:rsid w:val="000C2269"/>
    <w:rsid w:val="000C2CEA"/>
    <w:rsid w:val="000C35EB"/>
    <w:rsid w:val="000C4CC1"/>
    <w:rsid w:val="000C6871"/>
    <w:rsid w:val="000D6CEF"/>
    <w:rsid w:val="000E0293"/>
    <w:rsid w:val="000E249F"/>
    <w:rsid w:val="000E3C8C"/>
    <w:rsid w:val="000E60E9"/>
    <w:rsid w:val="000F0468"/>
    <w:rsid w:val="000F2654"/>
    <w:rsid w:val="000F348F"/>
    <w:rsid w:val="000F6D2A"/>
    <w:rsid w:val="000F7F50"/>
    <w:rsid w:val="0010095F"/>
    <w:rsid w:val="001046AA"/>
    <w:rsid w:val="001057FA"/>
    <w:rsid w:val="00105E82"/>
    <w:rsid w:val="00106817"/>
    <w:rsid w:val="00107E16"/>
    <w:rsid w:val="00110958"/>
    <w:rsid w:val="00111535"/>
    <w:rsid w:val="00112660"/>
    <w:rsid w:val="00120BFE"/>
    <w:rsid w:val="0012287B"/>
    <w:rsid w:val="00126705"/>
    <w:rsid w:val="00135C8B"/>
    <w:rsid w:val="00137731"/>
    <w:rsid w:val="00145D44"/>
    <w:rsid w:val="001475BB"/>
    <w:rsid w:val="001507B0"/>
    <w:rsid w:val="00153C5C"/>
    <w:rsid w:val="00154DE2"/>
    <w:rsid w:val="001555F4"/>
    <w:rsid w:val="001558D4"/>
    <w:rsid w:val="001561AA"/>
    <w:rsid w:val="00166D36"/>
    <w:rsid w:val="001730F6"/>
    <w:rsid w:val="0017521F"/>
    <w:rsid w:val="00177097"/>
    <w:rsid w:val="001774BF"/>
    <w:rsid w:val="00184EEC"/>
    <w:rsid w:val="00186963"/>
    <w:rsid w:val="00191296"/>
    <w:rsid w:val="0019445F"/>
    <w:rsid w:val="001945B4"/>
    <w:rsid w:val="0019742B"/>
    <w:rsid w:val="00197D21"/>
    <w:rsid w:val="001A0D95"/>
    <w:rsid w:val="001A3109"/>
    <w:rsid w:val="001A3DE9"/>
    <w:rsid w:val="001A5BCD"/>
    <w:rsid w:val="001A5DD7"/>
    <w:rsid w:val="001A6219"/>
    <w:rsid w:val="001B74EF"/>
    <w:rsid w:val="001C2D84"/>
    <w:rsid w:val="001C2DCA"/>
    <w:rsid w:val="001C55A5"/>
    <w:rsid w:val="001C68FA"/>
    <w:rsid w:val="001C71A1"/>
    <w:rsid w:val="001C7C6E"/>
    <w:rsid w:val="001D2F8C"/>
    <w:rsid w:val="001E2F45"/>
    <w:rsid w:val="001E789A"/>
    <w:rsid w:val="001E7A57"/>
    <w:rsid w:val="001F7E98"/>
    <w:rsid w:val="00200529"/>
    <w:rsid w:val="00201664"/>
    <w:rsid w:val="00202E28"/>
    <w:rsid w:val="00204448"/>
    <w:rsid w:val="00205310"/>
    <w:rsid w:val="002154C8"/>
    <w:rsid w:val="002171C9"/>
    <w:rsid w:val="0022160B"/>
    <w:rsid w:val="00223B4F"/>
    <w:rsid w:val="002356C2"/>
    <w:rsid w:val="002419FC"/>
    <w:rsid w:val="00241D9A"/>
    <w:rsid w:val="00242A3C"/>
    <w:rsid w:val="002557EB"/>
    <w:rsid w:val="00267EBF"/>
    <w:rsid w:val="00272C11"/>
    <w:rsid w:val="00273E6C"/>
    <w:rsid w:val="002746B6"/>
    <w:rsid w:val="00276707"/>
    <w:rsid w:val="0027749C"/>
    <w:rsid w:val="00280F19"/>
    <w:rsid w:val="00281F95"/>
    <w:rsid w:val="00287FA1"/>
    <w:rsid w:val="00290C54"/>
    <w:rsid w:val="00293B83"/>
    <w:rsid w:val="00294C40"/>
    <w:rsid w:val="00295AF1"/>
    <w:rsid w:val="002A4343"/>
    <w:rsid w:val="002A6252"/>
    <w:rsid w:val="002A78B6"/>
    <w:rsid w:val="002B1302"/>
    <w:rsid w:val="002B35CD"/>
    <w:rsid w:val="002B5006"/>
    <w:rsid w:val="002B5499"/>
    <w:rsid w:val="002B7001"/>
    <w:rsid w:val="002B7C97"/>
    <w:rsid w:val="002B7CA7"/>
    <w:rsid w:val="002C0EBC"/>
    <w:rsid w:val="002C2542"/>
    <w:rsid w:val="002C386C"/>
    <w:rsid w:val="002C4940"/>
    <w:rsid w:val="002C5779"/>
    <w:rsid w:val="002D0530"/>
    <w:rsid w:val="002D5913"/>
    <w:rsid w:val="002D64E6"/>
    <w:rsid w:val="002E28D4"/>
    <w:rsid w:val="002E370A"/>
    <w:rsid w:val="002F3854"/>
    <w:rsid w:val="002F38E3"/>
    <w:rsid w:val="002F481E"/>
    <w:rsid w:val="002F6BD5"/>
    <w:rsid w:val="00307B31"/>
    <w:rsid w:val="00337713"/>
    <w:rsid w:val="00337FDF"/>
    <w:rsid w:val="003401FA"/>
    <w:rsid w:val="003416AA"/>
    <w:rsid w:val="00343D51"/>
    <w:rsid w:val="003461D0"/>
    <w:rsid w:val="00347E8E"/>
    <w:rsid w:val="00353ABC"/>
    <w:rsid w:val="0036348A"/>
    <w:rsid w:val="0036670F"/>
    <w:rsid w:val="0036706E"/>
    <w:rsid w:val="00371629"/>
    <w:rsid w:val="003726FB"/>
    <w:rsid w:val="00373187"/>
    <w:rsid w:val="003772D2"/>
    <w:rsid w:val="003777A5"/>
    <w:rsid w:val="003849FF"/>
    <w:rsid w:val="00387EA2"/>
    <w:rsid w:val="00391B03"/>
    <w:rsid w:val="00396D5C"/>
    <w:rsid w:val="00397D12"/>
    <w:rsid w:val="003A041C"/>
    <w:rsid w:val="003A09CE"/>
    <w:rsid w:val="003A25E1"/>
    <w:rsid w:val="003A33BA"/>
    <w:rsid w:val="003A6F37"/>
    <w:rsid w:val="003B5677"/>
    <w:rsid w:val="003B5F24"/>
    <w:rsid w:val="003C05BB"/>
    <w:rsid w:val="003C2A4A"/>
    <w:rsid w:val="003D1986"/>
    <w:rsid w:val="003D484F"/>
    <w:rsid w:val="003D724B"/>
    <w:rsid w:val="003E02F4"/>
    <w:rsid w:val="003E5534"/>
    <w:rsid w:val="003F006B"/>
    <w:rsid w:val="003F195D"/>
    <w:rsid w:val="00403513"/>
    <w:rsid w:val="0040410E"/>
    <w:rsid w:val="00404DA2"/>
    <w:rsid w:val="00405A53"/>
    <w:rsid w:val="00410184"/>
    <w:rsid w:val="00410EA6"/>
    <w:rsid w:val="00412C2A"/>
    <w:rsid w:val="00413DBC"/>
    <w:rsid w:val="00415DAE"/>
    <w:rsid w:val="0041769F"/>
    <w:rsid w:val="0042321E"/>
    <w:rsid w:val="00423564"/>
    <w:rsid w:val="00430F62"/>
    <w:rsid w:val="00431B9E"/>
    <w:rsid w:val="00432DF1"/>
    <w:rsid w:val="00440152"/>
    <w:rsid w:val="00441C2B"/>
    <w:rsid w:val="00441FA7"/>
    <w:rsid w:val="00450CA2"/>
    <w:rsid w:val="00452C32"/>
    <w:rsid w:val="00455CF9"/>
    <w:rsid w:val="00456779"/>
    <w:rsid w:val="00457B5F"/>
    <w:rsid w:val="00464E95"/>
    <w:rsid w:val="00464F4A"/>
    <w:rsid w:val="0046665D"/>
    <w:rsid w:val="00474801"/>
    <w:rsid w:val="00491CF3"/>
    <w:rsid w:val="00496E8C"/>
    <w:rsid w:val="004A0C3B"/>
    <w:rsid w:val="004A6BAB"/>
    <w:rsid w:val="004B22B6"/>
    <w:rsid w:val="004B2E9F"/>
    <w:rsid w:val="004C23CA"/>
    <w:rsid w:val="004C3852"/>
    <w:rsid w:val="004C5257"/>
    <w:rsid w:val="004C719C"/>
    <w:rsid w:val="004C7738"/>
    <w:rsid w:val="004D09D1"/>
    <w:rsid w:val="004D3202"/>
    <w:rsid w:val="004D3FA2"/>
    <w:rsid w:val="004D4343"/>
    <w:rsid w:val="004D6E26"/>
    <w:rsid w:val="004D6FE6"/>
    <w:rsid w:val="004D7C81"/>
    <w:rsid w:val="004E160B"/>
    <w:rsid w:val="004E1D5C"/>
    <w:rsid w:val="004E3689"/>
    <w:rsid w:val="004F11E3"/>
    <w:rsid w:val="004F1289"/>
    <w:rsid w:val="004F12B6"/>
    <w:rsid w:val="004F1E18"/>
    <w:rsid w:val="004F75DF"/>
    <w:rsid w:val="00504C9F"/>
    <w:rsid w:val="00505F32"/>
    <w:rsid w:val="005131C0"/>
    <w:rsid w:val="00514AF1"/>
    <w:rsid w:val="0051772E"/>
    <w:rsid w:val="005216A5"/>
    <w:rsid w:val="0053068E"/>
    <w:rsid w:val="00530C43"/>
    <w:rsid w:val="00536C8C"/>
    <w:rsid w:val="00540A2E"/>
    <w:rsid w:val="00543E1D"/>
    <w:rsid w:val="00551701"/>
    <w:rsid w:val="00555637"/>
    <w:rsid w:val="0055742F"/>
    <w:rsid w:val="00560483"/>
    <w:rsid w:val="0056437C"/>
    <w:rsid w:val="00566F1D"/>
    <w:rsid w:val="00566F23"/>
    <w:rsid w:val="00567CD6"/>
    <w:rsid w:val="0057591A"/>
    <w:rsid w:val="00576805"/>
    <w:rsid w:val="00577C43"/>
    <w:rsid w:val="00580B13"/>
    <w:rsid w:val="00581E6E"/>
    <w:rsid w:val="005859DB"/>
    <w:rsid w:val="0059050D"/>
    <w:rsid w:val="00593D2A"/>
    <w:rsid w:val="0059745D"/>
    <w:rsid w:val="005A0854"/>
    <w:rsid w:val="005A6C89"/>
    <w:rsid w:val="005A7021"/>
    <w:rsid w:val="005B5CD0"/>
    <w:rsid w:val="005C0C24"/>
    <w:rsid w:val="005C1B38"/>
    <w:rsid w:val="005C3009"/>
    <w:rsid w:val="005C53F1"/>
    <w:rsid w:val="005D4012"/>
    <w:rsid w:val="005D5161"/>
    <w:rsid w:val="005D6F18"/>
    <w:rsid w:val="005E0335"/>
    <w:rsid w:val="005E278B"/>
    <w:rsid w:val="005E693D"/>
    <w:rsid w:val="005F3336"/>
    <w:rsid w:val="005F3F04"/>
    <w:rsid w:val="006027D5"/>
    <w:rsid w:val="00606675"/>
    <w:rsid w:val="0061303E"/>
    <w:rsid w:val="00613578"/>
    <w:rsid w:val="00616D6C"/>
    <w:rsid w:val="006232F1"/>
    <w:rsid w:val="006237B9"/>
    <w:rsid w:val="00632104"/>
    <w:rsid w:val="00634431"/>
    <w:rsid w:val="00640CCA"/>
    <w:rsid w:val="0064270A"/>
    <w:rsid w:val="0064365F"/>
    <w:rsid w:val="00644774"/>
    <w:rsid w:val="006542E2"/>
    <w:rsid w:val="006673A9"/>
    <w:rsid w:val="00667C19"/>
    <w:rsid w:val="00667DF0"/>
    <w:rsid w:val="0067076E"/>
    <w:rsid w:val="00671140"/>
    <w:rsid w:val="00676C79"/>
    <w:rsid w:val="00677440"/>
    <w:rsid w:val="006871A7"/>
    <w:rsid w:val="00687651"/>
    <w:rsid w:val="006908AB"/>
    <w:rsid w:val="00695D68"/>
    <w:rsid w:val="00697004"/>
    <w:rsid w:val="00697DFC"/>
    <w:rsid w:val="006A0D7B"/>
    <w:rsid w:val="006A5F40"/>
    <w:rsid w:val="006B0C38"/>
    <w:rsid w:val="006B648C"/>
    <w:rsid w:val="006C017C"/>
    <w:rsid w:val="006C6898"/>
    <w:rsid w:val="006C6FEC"/>
    <w:rsid w:val="006D1C5E"/>
    <w:rsid w:val="006D26E2"/>
    <w:rsid w:val="006D287B"/>
    <w:rsid w:val="006D5A61"/>
    <w:rsid w:val="006D6094"/>
    <w:rsid w:val="006E2714"/>
    <w:rsid w:val="006E4121"/>
    <w:rsid w:val="006E6BE9"/>
    <w:rsid w:val="006F33D8"/>
    <w:rsid w:val="006F3CEF"/>
    <w:rsid w:val="006F5F9C"/>
    <w:rsid w:val="006F71B8"/>
    <w:rsid w:val="00700429"/>
    <w:rsid w:val="00702E16"/>
    <w:rsid w:val="007061FA"/>
    <w:rsid w:val="00707B53"/>
    <w:rsid w:val="00711BC1"/>
    <w:rsid w:val="007120FA"/>
    <w:rsid w:val="00713133"/>
    <w:rsid w:val="0071315A"/>
    <w:rsid w:val="0072504D"/>
    <w:rsid w:val="0072757C"/>
    <w:rsid w:val="00730980"/>
    <w:rsid w:val="00732368"/>
    <w:rsid w:val="00733AEA"/>
    <w:rsid w:val="007347A6"/>
    <w:rsid w:val="00735E50"/>
    <w:rsid w:val="00740310"/>
    <w:rsid w:val="00742C94"/>
    <w:rsid w:val="00753C6B"/>
    <w:rsid w:val="0076280D"/>
    <w:rsid w:val="00772569"/>
    <w:rsid w:val="007738ED"/>
    <w:rsid w:val="00773F09"/>
    <w:rsid w:val="00782076"/>
    <w:rsid w:val="0078314E"/>
    <w:rsid w:val="0078438A"/>
    <w:rsid w:val="0078664B"/>
    <w:rsid w:val="007868A2"/>
    <w:rsid w:val="00790B19"/>
    <w:rsid w:val="007935E6"/>
    <w:rsid w:val="00794650"/>
    <w:rsid w:val="007971F1"/>
    <w:rsid w:val="007A027C"/>
    <w:rsid w:val="007A4162"/>
    <w:rsid w:val="007A4636"/>
    <w:rsid w:val="007B0C8D"/>
    <w:rsid w:val="007B5CAC"/>
    <w:rsid w:val="007B629A"/>
    <w:rsid w:val="007C0D30"/>
    <w:rsid w:val="007C63B6"/>
    <w:rsid w:val="007D386E"/>
    <w:rsid w:val="007D4516"/>
    <w:rsid w:val="007D4E3F"/>
    <w:rsid w:val="007D58CF"/>
    <w:rsid w:val="007D5A9A"/>
    <w:rsid w:val="007D6685"/>
    <w:rsid w:val="007E02AA"/>
    <w:rsid w:val="007E4B7A"/>
    <w:rsid w:val="007E6CFC"/>
    <w:rsid w:val="007F4EC3"/>
    <w:rsid w:val="007F5E7C"/>
    <w:rsid w:val="007F61BB"/>
    <w:rsid w:val="007F7038"/>
    <w:rsid w:val="00800736"/>
    <w:rsid w:val="008020E4"/>
    <w:rsid w:val="00802F4F"/>
    <w:rsid w:val="0080478B"/>
    <w:rsid w:val="008049D1"/>
    <w:rsid w:val="00806473"/>
    <w:rsid w:val="00812AB9"/>
    <w:rsid w:val="00812C71"/>
    <w:rsid w:val="00814CC2"/>
    <w:rsid w:val="008219BB"/>
    <w:rsid w:val="008247EE"/>
    <w:rsid w:val="00824D14"/>
    <w:rsid w:val="008329F4"/>
    <w:rsid w:val="0083344F"/>
    <w:rsid w:val="00834EE2"/>
    <w:rsid w:val="00841DEE"/>
    <w:rsid w:val="008448AB"/>
    <w:rsid w:val="00846A84"/>
    <w:rsid w:val="0084736B"/>
    <w:rsid w:val="00855C7C"/>
    <w:rsid w:val="00861B72"/>
    <w:rsid w:val="008631AF"/>
    <w:rsid w:val="008672EE"/>
    <w:rsid w:val="0088009A"/>
    <w:rsid w:val="00880AA6"/>
    <w:rsid w:val="008841A7"/>
    <w:rsid w:val="008908E5"/>
    <w:rsid w:val="00890B80"/>
    <w:rsid w:val="00895F03"/>
    <w:rsid w:val="008970A6"/>
    <w:rsid w:val="008972B3"/>
    <w:rsid w:val="008A1838"/>
    <w:rsid w:val="008A38DD"/>
    <w:rsid w:val="008A3E2A"/>
    <w:rsid w:val="008A4BC7"/>
    <w:rsid w:val="008B4527"/>
    <w:rsid w:val="008B4B4C"/>
    <w:rsid w:val="008B7FCD"/>
    <w:rsid w:val="008C1251"/>
    <w:rsid w:val="008C21F2"/>
    <w:rsid w:val="008C3C28"/>
    <w:rsid w:val="008C64E9"/>
    <w:rsid w:val="008D4991"/>
    <w:rsid w:val="008D5471"/>
    <w:rsid w:val="008D5A78"/>
    <w:rsid w:val="008D5DA0"/>
    <w:rsid w:val="008D620B"/>
    <w:rsid w:val="008D78A4"/>
    <w:rsid w:val="008E3BDA"/>
    <w:rsid w:val="008E6F37"/>
    <w:rsid w:val="008F2F82"/>
    <w:rsid w:val="008F3BF2"/>
    <w:rsid w:val="008F4DD5"/>
    <w:rsid w:val="008F5001"/>
    <w:rsid w:val="008F5EA1"/>
    <w:rsid w:val="00900AB3"/>
    <w:rsid w:val="00901679"/>
    <w:rsid w:val="00902262"/>
    <w:rsid w:val="009030D4"/>
    <w:rsid w:val="00905A21"/>
    <w:rsid w:val="00911621"/>
    <w:rsid w:val="0091355C"/>
    <w:rsid w:val="00913A0B"/>
    <w:rsid w:val="009200A5"/>
    <w:rsid w:val="0092564B"/>
    <w:rsid w:val="00926ED0"/>
    <w:rsid w:val="00935EE5"/>
    <w:rsid w:val="009429A0"/>
    <w:rsid w:val="00944E41"/>
    <w:rsid w:val="00945116"/>
    <w:rsid w:val="009467FB"/>
    <w:rsid w:val="00950084"/>
    <w:rsid w:val="00953AEF"/>
    <w:rsid w:val="00954749"/>
    <w:rsid w:val="00956055"/>
    <w:rsid w:val="00956538"/>
    <w:rsid w:val="00960BF6"/>
    <w:rsid w:val="00966BBE"/>
    <w:rsid w:val="00971985"/>
    <w:rsid w:val="00976018"/>
    <w:rsid w:val="00976A18"/>
    <w:rsid w:val="00982236"/>
    <w:rsid w:val="009836EC"/>
    <w:rsid w:val="00984B57"/>
    <w:rsid w:val="00986349"/>
    <w:rsid w:val="009868DA"/>
    <w:rsid w:val="009871C5"/>
    <w:rsid w:val="009906E5"/>
    <w:rsid w:val="009908A7"/>
    <w:rsid w:val="00991BD1"/>
    <w:rsid w:val="00992A9D"/>
    <w:rsid w:val="0099460B"/>
    <w:rsid w:val="0099465D"/>
    <w:rsid w:val="00996976"/>
    <w:rsid w:val="009A47E6"/>
    <w:rsid w:val="009B1057"/>
    <w:rsid w:val="009B1323"/>
    <w:rsid w:val="009C14B9"/>
    <w:rsid w:val="009C206C"/>
    <w:rsid w:val="009C2362"/>
    <w:rsid w:val="009C7665"/>
    <w:rsid w:val="009D4203"/>
    <w:rsid w:val="009E0AE9"/>
    <w:rsid w:val="009E3A22"/>
    <w:rsid w:val="009E4298"/>
    <w:rsid w:val="009E7BC9"/>
    <w:rsid w:val="009E7BEC"/>
    <w:rsid w:val="009F1B88"/>
    <w:rsid w:val="009F3815"/>
    <w:rsid w:val="009F5409"/>
    <w:rsid w:val="00A010B1"/>
    <w:rsid w:val="00A02DD6"/>
    <w:rsid w:val="00A11290"/>
    <w:rsid w:val="00A115A2"/>
    <w:rsid w:val="00A1609F"/>
    <w:rsid w:val="00A17E25"/>
    <w:rsid w:val="00A208D8"/>
    <w:rsid w:val="00A214BD"/>
    <w:rsid w:val="00A23855"/>
    <w:rsid w:val="00A24F6A"/>
    <w:rsid w:val="00A26B65"/>
    <w:rsid w:val="00A32DA7"/>
    <w:rsid w:val="00A33751"/>
    <w:rsid w:val="00A33A0F"/>
    <w:rsid w:val="00A34B56"/>
    <w:rsid w:val="00A3605C"/>
    <w:rsid w:val="00A3758F"/>
    <w:rsid w:val="00A4019C"/>
    <w:rsid w:val="00A42968"/>
    <w:rsid w:val="00A42D5D"/>
    <w:rsid w:val="00A44637"/>
    <w:rsid w:val="00A452E4"/>
    <w:rsid w:val="00A45C13"/>
    <w:rsid w:val="00A5004D"/>
    <w:rsid w:val="00A50CFB"/>
    <w:rsid w:val="00A52626"/>
    <w:rsid w:val="00A531A6"/>
    <w:rsid w:val="00A5544D"/>
    <w:rsid w:val="00A56C60"/>
    <w:rsid w:val="00A601E1"/>
    <w:rsid w:val="00A6087D"/>
    <w:rsid w:val="00A620A3"/>
    <w:rsid w:val="00A64254"/>
    <w:rsid w:val="00A675DD"/>
    <w:rsid w:val="00A70788"/>
    <w:rsid w:val="00A71010"/>
    <w:rsid w:val="00A72BC5"/>
    <w:rsid w:val="00A75D39"/>
    <w:rsid w:val="00A75F3F"/>
    <w:rsid w:val="00A83D3A"/>
    <w:rsid w:val="00A841F8"/>
    <w:rsid w:val="00A8593B"/>
    <w:rsid w:val="00A86CBD"/>
    <w:rsid w:val="00A95E5E"/>
    <w:rsid w:val="00AA2195"/>
    <w:rsid w:val="00AA595F"/>
    <w:rsid w:val="00AA5CE7"/>
    <w:rsid w:val="00AA76B1"/>
    <w:rsid w:val="00AB5103"/>
    <w:rsid w:val="00AB5426"/>
    <w:rsid w:val="00AB6E4B"/>
    <w:rsid w:val="00AB6E94"/>
    <w:rsid w:val="00AC1C67"/>
    <w:rsid w:val="00AC4015"/>
    <w:rsid w:val="00AD2A4C"/>
    <w:rsid w:val="00AD3C49"/>
    <w:rsid w:val="00AD6C6D"/>
    <w:rsid w:val="00AD76E1"/>
    <w:rsid w:val="00AE045D"/>
    <w:rsid w:val="00AE205B"/>
    <w:rsid w:val="00AE33FF"/>
    <w:rsid w:val="00AE3D6C"/>
    <w:rsid w:val="00AF11CF"/>
    <w:rsid w:val="00AF3B23"/>
    <w:rsid w:val="00AF5856"/>
    <w:rsid w:val="00AF6DAE"/>
    <w:rsid w:val="00B003A3"/>
    <w:rsid w:val="00B01CB8"/>
    <w:rsid w:val="00B07661"/>
    <w:rsid w:val="00B10ED0"/>
    <w:rsid w:val="00B11811"/>
    <w:rsid w:val="00B118CE"/>
    <w:rsid w:val="00B2105E"/>
    <w:rsid w:val="00B215FA"/>
    <w:rsid w:val="00B2273A"/>
    <w:rsid w:val="00B25BA6"/>
    <w:rsid w:val="00B375AB"/>
    <w:rsid w:val="00B401E2"/>
    <w:rsid w:val="00B4045F"/>
    <w:rsid w:val="00B43D32"/>
    <w:rsid w:val="00B449CF"/>
    <w:rsid w:val="00B5624F"/>
    <w:rsid w:val="00B624C6"/>
    <w:rsid w:val="00B64D8C"/>
    <w:rsid w:val="00B6520A"/>
    <w:rsid w:val="00B669EF"/>
    <w:rsid w:val="00B71B7B"/>
    <w:rsid w:val="00B72F38"/>
    <w:rsid w:val="00B76838"/>
    <w:rsid w:val="00B83666"/>
    <w:rsid w:val="00B846DC"/>
    <w:rsid w:val="00B85BC8"/>
    <w:rsid w:val="00B90E3C"/>
    <w:rsid w:val="00B9497B"/>
    <w:rsid w:val="00B95FD0"/>
    <w:rsid w:val="00B96B75"/>
    <w:rsid w:val="00BA1976"/>
    <w:rsid w:val="00BA1C78"/>
    <w:rsid w:val="00BA623F"/>
    <w:rsid w:val="00BC502C"/>
    <w:rsid w:val="00BC661A"/>
    <w:rsid w:val="00BD19A0"/>
    <w:rsid w:val="00BD249C"/>
    <w:rsid w:val="00BD32C2"/>
    <w:rsid w:val="00BD6942"/>
    <w:rsid w:val="00BD7C3A"/>
    <w:rsid w:val="00BE2BC2"/>
    <w:rsid w:val="00BE2C31"/>
    <w:rsid w:val="00BE645C"/>
    <w:rsid w:val="00BF04BB"/>
    <w:rsid w:val="00BF0E10"/>
    <w:rsid w:val="00BF5244"/>
    <w:rsid w:val="00BF7FFC"/>
    <w:rsid w:val="00C026B4"/>
    <w:rsid w:val="00C03123"/>
    <w:rsid w:val="00C0348E"/>
    <w:rsid w:val="00C035F8"/>
    <w:rsid w:val="00C03FC0"/>
    <w:rsid w:val="00C05342"/>
    <w:rsid w:val="00C07758"/>
    <w:rsid w:val="00C07E37"/>
    <w:rsid w:val="00C2075C"/>
    <w:rsid w:val="00C21D09"/>
    <w:rsid w:val="00C2309B"/>
    <w:rsid w:val="00C232F5"/>
    <w:rsid w:val="00C24AC0"/>
    <w:rsid w:val="00C24B9B"/>
    <w:rsid w:val="00C333B0"/>
    <w:rsid w:val="00C33BB9"/>
    <w:rsid w:val="00C34900"/>
    <w:rsid w:val="00C34E9E"/>
    <w:rsid w:val="00C36CAC"/>
    <w:rsid w:val="00C471D6"/>
    <w:rsid w:val="00C50B6E"/>
    <w:rsid w:val="00C51D8E"/>
    <w:rsid w:val="00C709F7"/>
    <w:rsid w:val="00C72278"/>
    <w:rsid w:val="00C76E78"/>
    <w:rsid w:val="00C77B56"/>
    <w:rsid w:val="00C81552"/>
    <w:rsid w:val="00C93349"/>
    <w:rsid w:val="00C93571"/>
    <w:rsid w:val="00C93FAB"/>
    <w:rsid w:val="00C953C9"/>
    <w:rsid w:val="00CA2A17"/>
    <w:rsid w:val="00CA30EC"/>
    <w:rsid w:val="00CA56FF"/>
    <w:rsid w:val="00CB175F"/>
    <w:rsid w:val="00CB1BDD"/>
    <w:rsid w:val="00CB6429"/>
    <w:rsid w:val="00CB6596"/>
    <w:rsid w:val="00CB6BAB"/>
    <w:rsid w:val="00CC674F"/>
    <w:rsid w:val="00CD0CF5"/>
    <w:rsid w:val="00CD2CDE"/>
    <w:rsid w:val="00CD3F6D"/>
    <w:rsid w:val="00CE73F1"/>
    <w:rsid w:val="00CF4783"/>
    <w:rsid w:val="00D018AD"/>
    <w:rsid w:val="00D02738"/>
    <w:rsid w:val="00D05066"/>
    <w:rsid w:val="00D106D8"/>
    <w:rsid w:val="00D11899"/>
    <w:rsid w:val="00D1755C"/>
    <w:rsid w:val="00D20C23"/>
    <w:rsid w:val="00D22873"/>
    <w:rsid w:val="00D345E2"/>
    <w:rsid w:val="00D37A44"/>
    <w:rsid w:val="00D40D16"/>
    <w:rsid w:val="00D41F21"/>
    <w:rsid w:val="00D4307E"/>
    <w:rsid w:val="00D43705"/>
    <w:rsid w:val="00D4388C"/>
    <w:rsid w:val="00D45480"/>
    <w:rsid w:val="00D50209"/>
    <w:rsid w:val="00D56D4F"/>
    <w:rsid w:val="00D606EE"/>
    <w:rsid w:val="00D61D09"/>
    <w:rsid w:val="00D705C0"/>
    <w:rsid w:val="00D70E21"/>
    <w:rsid w:val="00D73298"/>
    <w:rsid w:val="00D73ABA"/>
    <w:rsid w:val="00D748AF"/>
    <w:rsid w:val="00D74B58"/>
    <w:rsid w:val="00D75BDB"/>
    <w:rsid w:val="00D81835"/>
    <w:rsid w:val="00D878E4"/>
    <w:rsid w:val="00D94666"/>
    <w:rsid w:val="00DA170D"/>
    <w:rsid w:val="00DB05C2"/>
    <w:rsid w:val="00DB1033"/>
    <w:rsid w:val="00DB2537"/>
    <w:rsid w:val="00DB70B9"/>
    <w:rsid w:val="00DC0CB3"/>
    <w:rsid w:val="00DC1DA8"/>
    <w:rsid w:val="00DC3746"/>
    <w:rsid w:val="00DC797B"/>
    <w:rsid w:val="00DD0B00"/>
    <w:rsid w:val="00DD52CE"/>
    <w:rsid w:val="00DD5510"/>
    <w:rsid w:val="00DD6961"/>
    <w:rsid w:val="00DE06D0"/>
    <w:rsid w:val="00DE1688"/>
    <w:rsid w:val="00DE3B36"/>
    <w:rsid w:val="00DE50FB"/>
    <w:rsid w:val="00DE79BC"/>
    <w:rsid w:val="00DF0D65"/>
    <w:rsid w:val="00DF13C4"/>
    <w:rsid w:val="00DF16A9"/>
    <w:rsid w:val="00DF1C69"/>
    <w:rsid w:val="00DF27F6"/>
    <w:rsid w:val="00DF49C3"/>
    <w:rsid w:val="00DF6D61"/>
    <w:rsid w:val="00E031A6"/>
    <w:rsid w:val="00E03583"/>
    <w:rsid w:val="00E0518B"/>
    <w:rsid w:val="00E10713"/>
    <w:rsid w:val="00E25F14"/>
    <w:rsid w:val="00E30FFA"/>
    <w:rsid w:val="00E31141"/>
    <w:rsid w:val="00E32FA5"/>
    <w:rsid w:val="00E33A0D"/>
    <w:rsid w:val="00E34937"/>
    <w:rsid w:val="00E356D9"/>
    <w:rsid w:val="00E36CBA"/>
    <w:rsid w:val="00E401B7"/>
    <w:rsid w:val="00E412F9"/>
    <w:rsid w:val="00E443F2"/>
    <w:rsid w:val="00E46850"/>
    <w:rsid w:val="00E47971"/>
    <w:rsid w:val="00E47B1E"/>
    <w:rsid w:val="00E51655"/>
    <w:rsid w:val="00E603E8"/>
    <w:rsid w:val="00E6135A"/>
    <w:rsid w:val="00E9201A"/>
    <w:rsid w:val="00E960CF"/>
    <w:rsid w:val="00EA0995"/>
    <w:rsid w:val="00EA33D6"/>
    <w:rsid w:val="00EB0E05"/>
    <w:rsid w:val="00EB2140"/>
    <w:rsid w:val="00EB34B2"/>
    <w:rsid w:val="00EB5C55"/>
    <w:rsid w:val="00ED7CAE"/>
    <w:rsid w:val="00EE14D6"/>
    <w:rsid w:val="00EE28D5"/>
    <w:rsid w:val="00EE4845"/>
    <w:rsid w:val="00EF3210"/>
    <w:rsid w:val="00EF370C"/>
    <w:rsid w:val="00EF3AD4"/>
    <w:rsid w:val="00EF7160"/>
    <w:rsid w:val="00F0224B"/>
    <w:rsid w:val="00F044E0"/>
    <w:rsid w:val="00F070DA"/>
    <w:rsid w:val="00F073E8"/>
    <w:rsid w:val="00F07F09"/>
    <w:rsid w:val="00F130CE"/>
    <w:rsid w:val="00F13796"/>
    <w:rsid w:val="00F15183"/>
    <w:rsid w:val="00F17FE3"/>
    <w:rsid w:val="00F22B1C"/>
    <w:rsid w:val="00F23C4C"/>
    <w:rsid w:val="00F323F5"/>
    <w:rsid w:val="00F34393"/>
    <w:rsid w:val="00F34E1B"/>
    <w:rsid w:val="00F35C0A"/>
    <w:rsid w:val="00F36F8B"/>
    <w:rsid w:val="00F421AD"/>
    <w:rsid w:val="00F42549"/>
    <w:rsid w:val="00F42C2B"/>
    <w:rsid w:val="00F447CB"/>
    <w:rsid w:val="00F508A9"/>
    <w:rsid w:val="00F51924"/>
    <w:rsid w:val="00F53171"/>
    <w:rsid w:val="00F53235"/>
    <w:rsid w:val="00F548A9"/>
    <w:rsid w:val="00F5528E"/>
    <w:rsid w:val="00F57BE2"/>
    <w:rsid w:val="00F57C57"/>
    <w:rsid w:val="00F61029"/>
    <w:rsid w:val="00F625BB"/>
    <w:rsid w:val="00F64EC4"/>
    <w:rsid w:val="00F70577"/>
    <w:rsid w:val="00F7262C"/>
    <w:rsid w:val="00F758AC"/>
    <w:rsid w:val="00F7655C"/>
    <w:rsid w:val="00F80103"/>
    <w:rsid w:val="00F91137"/>
    <w:rsid w:val="00F91752"/>
    <w:rsid w:val="00F91940"/>
    <w:rsid w:val="00F9487A"/>
    <w:rsid w:val="00FA3F2B"/>
    <w:rsid w:val="00FA40F5"/>
    <w:rsid w:val="00FA4BF0"/>
    <w:rsid w:val="00FA65F9"/>
    <w:rsid w:val="00FA770F"/>
    <w:rsid w:val="00FB1CCE"/>
    <w:rsid w:val="00FB47B4"/>
    <w:rsid w:val="00FC40B0"/>
    <w:rsid w:val="00FC53F1"/>
    <w:rsid w:val="00FC5FDD"/>
    <w:rsid w:val="00FD0BF6"/>
    <w:rsid w:val="00FD21A1"/>
    <w:rsid w:val="00FD2937"/>
    <w:rsid w:val="00FD2F0C"/>
    <w:rsid w:val="00FD328D"/>
    <w:rsid w:val="00FD33F7"/>
    <w:rsid w:val="00FD5F59"/>
    <w:rsid w:val="00FD7680"/>
    <w:rsid w:val="00FE11BF"/>
    <w:rsid w:val="00FE4974"/>
    <w:rsid w:val="00FE7EC0"/>
    <w:rsid w:val="00FF07A2"/>
    <w:rsid w:val="00FF0F96"/>
    <w:rsid w:val="00FF31F3"/>
    <w:rsid w:val="02C907AD"/>
    <w:rsid w:val="055C0059"/>
    <w:rsid w:val="11852864"/>
    <w:rsid w:val="15BE19B4"/>
    <w:rsid w:val="17311C3F"/>
    <w:rsid w:val="1BA70176"/>
    <w:rsid w:val="281D4E84"/>
    <w:rsid w:val="28786409"/>
    <w:rsid w:val="297C451C"/>
    <w:rsid w:val="3CB961A0"/>
    <w:rsid w:val="45E60911"/>
    <w:rsid w:val="461408AE"/>
    <w:rsid w:val="47926284"/>
    <w:rsid w:val="4CF92BE3"/>
    <w:rsid w:val="53232804"/>
    <w:rsid w:val="56D2189D"/>
    <w:rsid w:val="57EA289B"/>
    <w:rsid w:val="5F997E0F"/>
    <w:rsid w:val="60943C16"/>
    <w:rsid w:val="65032D9E"/>
    <w:rsid w:val="6B9A3527"/>
    <w:rsid w:val="6CF10D0E"/>
    <w:rsid w:val="71455DF3"/>
    <w:rsid w:val="78C36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4"/>
    <w:semiHidden/>
    <w:unhideWhenUsed/>
    <w:qFormat/>
    <w:uiPriority w:val="99"/>
    <w:rPr>
      <w:sz w:val="18"/>
      <w:szCs w:val="18"/>
    </w:rPr>
  </w:style>
  <w:style w:type="paragraph" w:styleId="3">
    <w:name w:val="footer"/>
    <w:basedOn w:val="1"/>
    <w:link w:val="11"/>
    <w:unhideWhenUsed/>
    <w:qFormat/>
    <w:uiPriority w:val="99"/>
    <w:pPr>
      <w:tabs>
        <w:tab w:val="center" w:pos="4153"/>
        <w:tab w:val="right" w:pos="8306"/>
      </w:tabs>
      <w:snapToGrid w:val="0"/>
      <w:jc w:val="left"/>
    </w:pPr>
    <w:rPr>
      <w:sz w:val="18"/>
      <w:szCs w:val="18"/>
    </w:rPr>
  </w:style>
  <w:style w:type="paragraph" w:styleId="4">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qFormat/>
    <w:uiPriority w:val="22"/>
    <w:rPr>
      <w:b/>
      <w:bCs/>
    </w:rPr>
  </w:style>
  <w:style w:type="character" w:styleId="9">
    <w:name w:val="page number"/>
    <w:basedOn w:val="7"/>
    <w:qFormat/>
    <w:uiPriority w:val="0"/>
  </w:style>
  <w:style w:type="character" w:customStyle="1" w:styleId="10">
    <w:name w:val="页眉 字符"/>
    <w:basedOn w:val="7"/>
    <w:link w:val="4"/>
    <w:qFormat/>
    <w:uiPriority w:val="99"/>
    <w:rPr>
      <w:sz w:val="18"/>
      <w:szCs w:val="18"/>
    </w:rPr>
  </w:style>
  <w:style w:type="character" w:customStyle="1" w:styleId="11">
    <w:name w:val="页脚 字符"/>
    <w:basedOn w:val="7"/>
    <w:link w:val="3"/>
    <w:qFormat/>
    <w:uiPriority w:val="99"/>
    <w:rPr>
      <w:sz w:val="18"/>
      <w:szCs w:val="18"/>
    </w:rPr>
  </w:style>
  <w:style w:type="table" w:customStyle="1" w:styleId="12">
    <w:name w:val="网格型1"/>
    <w:basedOn w:val="5"/>
    <w:qFormat/>
    <w:uiPriority w:val="59"/>
    <w:rPr>
      <w:rFonts w:ascii="Times New Roman" w:hAnsi="Times New Roman" w:eastAsia="宋体" w:cs="Times New Roman"/>
      <w:kern w:val="0"/>
      <w:sz w:val="20"/>
      <w:szCs w:val="20"/>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13">
    <w:name w:val="List Paragraph"/>
    <w:basedOn w:val="1"/>
    <w:qFormat/>
    <w:uiPriority w:val="34"/>
    <w:pPr>
      <w:ind w:firstLine="420" w:firstLineChars="200"/>
    </w:pPr>
  </w:style>
  <w:style w:type="character" w:customStyle="1" w:styleId="14">
    <w:name w:val="批注框文本 字符"/>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利用事务中心</Company>
  <Pages>5</Pages>
  <Words>379</Words>
  <Characters>2164</Characters>
  <Lines>18</Lines>
  <Paragraphs>5</Paragraphs>
  <TotalTime>6</TotalTime>
  <ScaleCrop>false</ScaleCrop>
  <LinksUpToDate>false</LinksUpToDate>
  <CharactersWithSpaces>2538</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2019-08-15T01:32:00Z</dcterms:created>
  <dc:creator>赵国华</dc:creator>
  <cp:lastModifiedBy>赵国华</cp:lastModifiedBy>
  <cp:lastPrinted>2023-04-06T06:47:00Z</cp:lastPrinted>
  <dcterms:modified xsi:type="dcterms:W3CDTF">2023-07-06T01:39:59Z</dcterms:modified>
  <cp:revision>797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ies>
</file>