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南川区南平镇玉龙村饰面用石灰岩详查探矿权</w:t>
      </w:r>
      <w:r>
        <w:rPr>
          <w:rFonts w:hint="eastAsia" w:ascii="Times New Roman" w:hAnsi="Times New Roman" w:eastAsia="黑体" w:cs="Times New Roman"/>
          <w:sz w:val="40"/>
          <w:szCs w:val="40"/>
          <w:lang w:val="en-US" w:eastAsia="zh-CN"/>
        </w:rPr>
        <w:t>挂牌</w:t>
      </w:r>
      <w:r>
        <w:rPr>
          <w:rFonts w:hint="eastAsia"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渝矿探出字〔2023〕（南川）1号</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根据国家和重庆市的相关规定，重庆市南川区规划和自然资源局决定公开挂牌出让以下探矿权，并委托重庆市南川区公共资源综合交易中心负责公开出让交易环节的组织实施。现将有关事项公告如下：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hint="eastAsia" w:ascii="Times New Roman" w:hAnsi="Times New Roman" w:cs="Times New Roman"/>
          <w:sz w:val="24"/>
          <w:szCs w:val="24"/>
        </w:rPr>
        <w:t>本次公告同步发布的网站：中华人民共和国自然资源部</w:t>
      </w:r>
      <w:r>
        <w:rPr>
          <w:rFonts w:hint="eastAsia" w:ascii="Times New Roman" w:hAnsi="Times New Roman" w:cs="Times New Roman"/>
          <w:i/>
          <w:sz w:val="24"/>
          <w:szCs w:val="24"/>
          <w:u w:val="single"/>
        </w:rPr>
        <w:t>（</w:t>
      </w:r>
      <w:r>
        <w:rPr>
          <w:rFonts w:ascii="Times New Roman" w:hAnsi="Times New Roman" w:cs="Times New Roman"/>
          <w:i/>
          <w:sz w:val="24"/>
          <w:szCs w:val="24"/>
          <w:u w:val="single"/>
        </w:rPr>
        <w:t>https://www.mnr.gov.cn/</w:t>
      </w:r>
      <w:r>
        <w:rPr>
          <w:rFonts w:hint="eastAsia" w:ascii="Times New Roman" w:hAnsi="Times New Roman" w:cs="Times New Roman"/>
          <w:i/>
          <w:sz w:val="24"/>
          <w:szCs w:val="24"/>
          <w:u w:val="single"/>
        </w:rPr>
        <w:t>）</w:t>
      </w:r>
      <w:r>
        <w:rPr>
          <w:rFonts w:hint="eastAsia" w:ascii="Times New Roman" w:hAnsi="Times New Roman" w:cs="Times New Roman"/>
          <w:sz w:val="24"/>
          <w:szCs w:val="24"/>
        </w:rPr>
        <w:t>、重庆市规划和自然资源局网站</w:t>
      </w:r>
      <w:r>
        <w:rPr>
          <w:rFonts w:hint="eastAsia" w:ascii="Times New Roman" w:hAnsi="Times New Roman" w:cs="Times New Roman"/>
          <w:i/>
          <w:sz w:val="24"/>
          <w:szCs w:val="24"/>
          <w:u w:val="single"/>
        </w:rPr>
        <w:t>（</w:t>
      </w:r>
      <w:r>
        <w:rPr>
          <w:rFonts w:ascii="Times New Roman" w:hAnsi="Times New Roman" w:cs="Times New Roman"/>
          <w:i/>
          <w:sz w:val="24"/>
          <w:szCs w:val="24"/>
          <w:u w:val="single"/>
        </w:rPr>
        <w:t>http://ghzrzyj.cq.gov.cn</w:t>
      </w:r>
      <w:r>
        <w:rPr>
          <w:rFonts w:hint="eastAsia" w:ascii="Times New Roman" w:hAnsi="Times New Roman" w:cs="Times New Roman"/>
          <w:i/>
          <w:sz w:val="24"/>
          <w:szCs w:val="24"/>
          <w:u w:val="single"/>
        </w:rPr>
        <w:t>）</w:t>
      </w:r>
      <w:r>
        <w:rPr>
          <w:rFonts w:hint="eastAsia" w:ascii="Times New Roman" w:hAnsi="Times New Roman" w:cs="Times New Roman"/>
          <w:sz w:val="24"/>
          <w:szCs w:val="24"/>
        </w:rPr>
        <w:t>、重庆市南川区公共资源综合交易中心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https://www.cqggzy.com/nanchuanweb/</w:t>
      </w:r>
      <w:r>
        <w:rPr>
          <w:rFonts w:hint="eastAsia"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一、基本情况</w:t>
      </w:r>
    </w:p>
    <w:tbl>
      <w:tblPr>
        <w:tblStyle w:val="5"/>
        <w:tblpPr w:leftFromText="180" w:rightFromText="180" w:vertAnchor="text" w:horzAnchor="margin" w:tblpXSpec="center" w:tblpY="41"/>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2052"/>
        <w:gridCol w:w="993"/>
        <w:gridCol w:w="850"/>
        <w:gridCol w:w="2126"/>
        <w:gridCol w:w="1501"/>
        <w:gridCol w:w="1217"/>
        <w:gridCol w:w="954"/>
        <w:gridCol w:w="1229"/>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345" w:type="dxa"/>
            <w:vAlign w:val="center"/>
          </w:tcPr>
          <w:p>
            <w:pPr>
              <w:jc w:val="center"/>
              <w:rPr>
                <w:rFonts w:ascii="Times New Roman" w:hAnsi="Times New Roman" w:cs="Times New Roman"/>
                <w:szCs w:val="21"/>
              </w:rPr>
            </w:pPr>
            <w:r>
              <w:rPr>
                <w:rFonts w:hint="eastAsia" w:ascii="Times New Roman" w:hAnsi="Times New Roman" w:cs="Times New Roman"/>
                <w:szCs w:val="21"/>
              </w:rPr>
              <w:t>公告序号</w:t>
            </w:r>
          </w:p>
        </w:tc>
        <w:tc>
          <w:tcPr>
            <w:tcW w:w="2052" w:type="dxa"/>
            <w:vAlign w:val="center"/>
          </w:tcPr>
          <w:p>
            <w:pPr>
              <w:jc w:val="center"/>
              <w:rPr>
                <w:rFonts w:ascii="Times New Roman" w:hAnsi="Times New Roman" w:cs="Times New Roman"/>
                <w:szCs w:val="21"/>
              </w:rPr>
            </w:pPr>
            <w:r>
              <w:rPr>
                <w:rFonts w:hint="eastAsia" w:ascii="Times New Roman" w:hAnsi="Times New Roman" w:cs="Times New Roman"/>
                <w:szCs w:val="21"/>
              </w:rPr>
              <w:t>探矿权名称</w:t>
            </w:r>
          </w:p>
          <w:p>
            <w:pPr>
              <w:jc w:val="center"/>
              <w:rPr>
                <w:rFonts w:ascii="Times New Roman" w:hAnsi="Times New Roman" w:cs="Times New Roman"/>
                <w:szCs w:val="21"/>
              </w:rPr>
            </w:pPr>
            <w:r>
              <w:rPr>
                <w:rFonts w:hint="eastAsia" w:ascii="Times New Roman" w:hAnsi="Times New Roman" w:cs="Times New Roman"/>
                <w:szCs w:val="21"/>
              </w:rPr>
              <w:t>（暂定名）</w:t>
            </w:r>
          </w:p>
        </w:tc>
        <w:tc>
          <w:tcPr>
            <w:tcW w:w="993" w:type="dxa"/>
            <w:vAlign w:val="center"/>
          </w:tcPr>
          <w:p>
            <w:pPr>
              <w:jc w:val="center"/>
              <w:rPr>
                <w:rFonts w:ascii="Times New Roman" w:hAnsi="Times New Roman" w:cs="Times New Roman"/>
                <w:szCs w:val="21"/>
              </w:rPr>
            </w:pPr>
            <w:r>
              <w:rPr>
                <w:rFonts w:hint="eastAsia" w:ascii="Times New Roman" w:hAnsi="Times New Roman" w:cs="Times New Roman"/>
                <w:szCs w:val="21"/>
              </w:rPr>
              <w:t>地理</w:t>
            </w:r>
          </w:p>
          <w:p>
            <w:pPr>
              <w:jc w:val="center"/>
              <w:rPr>
                <w:rFonts w:ascii="Times New Roman" w:hAnsi="Times New Roman" w:cs="Times New Roman"/>
                <w:szCs w:val="21"/>
              </w:rPr>
            </w:pPr>
            <w:r>
              <w:rPr>
                <w:rFonts w:hint="eastAsia" w:ascii="Times New Roman" w:hAnsi="Times New Roman" w:cs="Times New Roman"/>
                <w:szCs w:val="21"/>
              </w:rPr>
              <w:t>位置</w:t>
            </w:r>
          </w:p>
        </w:tc>
        <w:tc>
          <w:tcPr>
            <w:tcW w:w="850" w:type="dxa"/>
            <w:vAlign w:val="center"/>
          </w:tcPr>
          <w:p>
            <w:pPr>
              <w:jc w:val="center"/>
              <w:rPr>
                <w:rFonts w:ascii="Times New Roman" w:hAnsi="Times New Roman" w:cs="Times New Roman"/>
                <w:szCs w:val="21"/>
              </w:rPr>
            </w:pPr>
            <w:r>
              <w:rPr>
                <w:rFonts w:hint="eastAsia" w:ascii="Times New Roman" w:hAnsi="Times New Roman" w:cs="Times New Roman"/>
                <w:szCs w:val="21"/>
              </w:rPr>
              <w:t>勘查</w:t>
            </w:r>
          </w:p>
          <w:p>
            <w:pPr>
              <w:jc w:val="center"/>
              <w:rPr>
                <w:rFonts w:ascii="Times New Roman" w:hAnsi="Times New Roman" w:cs="Times New Roman"/>
                <w:szCs w:val="21"/>
              </w:rPr>
            </w:pPr>
            <w:r>
              <w:rPr>
                <w:rFonts w:hint="eastAsia" w:ascii="Times New Roman" w:hAnsi="Times New Roman" w:cs="Times New Roman"/>
                <w:szCs w:val="21"/>
              </w:rPr>
              <w:t>矿种</w:t>
            </w:r>
          </w:p>
        </w:tc>
        <w:tc>
          <w:tcPr>
            <w:tcW w:w="2126" w:type="dxa"/>
            <w:vAlign w:val="center"/>
          </w:tcPr>
          <w:p>
            <w:pPr>
              <w:jc w:val="center"/>
              <w:rPr>
                <w:rFonts w:ascii="Times New Roman" w:hAnsi="Times New Roman" w:cs="Times New Roman"/>
                <w:szCs w:val="21"/>
              </w:rPr>
            </w:pPr>
            <w:r>
              <w:rPr>
                <w:rFonts w:hint="eastAsia" w:ascii="Times New Roman" w:hAnsi="Times New Roman" w:cs="Times New Roman"/>
                <w:szCs w:val="21"/>
              </w:rPr>
              <w:t>勘查范围拐点坐标（</w:t>
            </w:r>
            <w:r>
              <w:rPr>
                <w:rFonts w:ascii="Times New Roman" w:hAnsi="Times New Roman" w:cs="Times New Roman"/>
                <w:szCs w:val="21"/>
              </w:rPr>
              <w:t>2000</w:t>
            </w:r>
            <w:r>
              <w:rPr>
                <w:rFonts w:hint="eastAsia" w:ascii="Times New Roman" w:hAnsi="Times New Roman" w:cs="Times New Roman"/>
                <w:szCs w:val="21"/>
              </w:rPr>
              <w:t>坐标系）</w:t>
            </w:r>
          </w:p>
        </w:tc>
        <w:tc>
          <w:tcPr>
            <w:tcW w:w="1501" w:type="dxa"/>
            <w:vAlign w:val="center"/>
          </w:tcPr>
          <w:p>
            <w:pPr>
              <w:jc w:val="center"/>
              <w:rPr>
                <w:rFonts w:ascii="Times New Roman" w:hAnsi="Times New Roman" w:cs="Times New Roman"/>
                <w:szCs w:val="21"/>
              </w:rPr>
            </w:pPr>
            <w:r>
              <w:rPr>
                <w:rFonts w:hint="eastAsia" w:ascii="Times New Roman" w:hAnsi="Times New Roman" w:cs="Times New Roman"/>
                <w:szCs w:val="21"/>
              </w:rPr>
              <w:t>勘查面积</w:t>
            </w:r>
          </w:p>
          <w:p>
            <w:pPr>
              <w:jc w:val="center"/>
              <w:rPr>
                <w:rFonts w:ascii="Times New Roman" w:hAnsi="Times New Roman" w:cs="Times New Roman"/>
                <w:szCs w:val="21"/>
              </w:rPr>
            </w:pPr>
            <w:r>
              <w:rPr>
                <w:rFonts w:hint="eastAsia" w:ascii="Times New Roman" w:hAnsi="Times New Roman" w:cs="Times New Roman"/>
                <w:szCs w:val="21"/>
              </w:rPr>
              <w:t>（平方公里）</w:t>
            </w:r>
          </w:p>
        </w:tc>
        <w:tc>
          <w:tcPr>
            <w:tcW w:w="1217" w:type="dxa"/>
            <w:vAlign w:val="center"/>
          </w:tcPr>
          <w:p>
            <w:pPr>
              <w:jc w:val="center"/>
              <w:rPr>
                <w:rFonts w:ascii="Times New Roman" w:hAnsi="Times New Roman" w:cs="Times New Roman"/>
                <w:szCs w:val="21"/>
              </w:rPr>
            </w:pPr>
            <w:r>
              <w:rPr>
                <w:rFonts w:hint="eastAsia" w:ascii="Times New Roman" w:hAnsi="Times New Roman" w:cs="Times New Roman"/>
                <w:szCs w:val="21"/>
              </w:rPr>
              <w:t>勘查阶段</w:t>
            </w:r>
          </w:p>
        </w:tc>
        <w:tc>
          <w:tcPr>
            <w:tcW w:w="954" w:type="dxa"/>
            <w:vAlign w:val="center"/>
          </w:tcPr>
          <w:p>
            <w:pPr>
              <w:jc w:val="center"/>
              <w:rPr>
                <w:rFonts w:ascii="Times New Roman" w:hAnsi="Times New Roman" w:cs="Times New Roman"/>
                <w:szCs w:val="21"/>
              </w:rPr>
            </w:pPr>
            <w:r>
              <w:rPr>
                <w:rFonts w:hint="eastAsia" w:ascii="Times New Roman" w:hAnsi="Times New Roman" w:cs="Times New Roman"/>
                <w:szCs w:val="21"/>
              </w:rPr>
              <w:t>出让</w:t>
            </w:r>
          </w:p>
          <w:p>
            <w:pPr>
              <w:jc w:val="center"/>
              <w:rPr>
                <w:rFonts w:ascii="Times New Roman" w:hAnsi="Times New Roman" w:cs="Times New Roman"/>
                <w:szCs w:val="21"/>
              </w:rPr>
            </w:pPr>
            <w:r>
              <w:rPr>
                <w:rFonts w:hint="eastAsia" w:ascii="Times New Roman" w:hAnsi="Times New Roman" w:cs="Times New Roman"/>
                <w:szCs w:val="21"/>
              </w:rPr>
              <w:t>年限（年）</w:t>
            </w:r>
          </w:p>
        </w:tc>
        <w:tc>
          <w:tcPr>
            <w:tcW w:w="1229" w:type="dxa"/>
            <w:vAlign w:val="center"/>
          </w:tcPr>
          <w:p>
            <w:pPr>
              <w:jc w:val="center"/>
              <w:rPr>
                <w:rFonts w:ascii="Times New Roman" w:hAnsi="Times New Roman" w:cs="Times New Roman"/>
                <w:szCs w:val="21"/>
              </w:rPr>
            </w:pPr>
            <w:r>
              <w:rPr>
                <w:rFonts w:hint="eastAsia" w:ascii="Times New Roman" w:hAnsi="Times New Roman" w:cs="Times New Roman"/>
                <w:szCs w:val="21"/>
              </w:rPr>
              <w:t>出让收益起始价</w:t>
            </w:r>
          </w:p>
          <w:p>
            <w:pPr>
              <w:jc w:val="center"/>
              <w:rPr>
                <w:rFonts w:ascii="Times New Roman" w:hAnsi="Times New Roman" w:cs="Times New Roman"/>
                <w:szCs w:val="21"/>
              </w:rPr>
            </w:pPr>
            <w:r>
              <w:rPr>
                <w:rFonts w:hint="eastAsia" w:ascii="Times New Roman" w:hAnsi="Times New Roman" w:cs="Times New Roman"/>
                <w:szCs w:val="21"/>
              </w:rPr>
              <w:t>（万元）</w:t>
            </w:r>
          </w:p>
        </w:tc>
        <w:tc>
          <w:tcPr>
            <w:tcW w:w="1336" w:type="dxa"/>
            <w:vAlign w:val="center"/>
          </w:tcPr>
          <w:p>
            <w:pPr>
              <w:jc w:val="center"/>
              <w:rPr>
                <w:rFonts w:ascii="Times New Roman" w:hAnsi="Times New Roman" w:cs="Times New Roman"/>
                <w:szCs w:val="21"/>
              </w:rPr>
            </w:pPr>
            <w:r>
              <w:rPr>
                <w:rFonts w:hint="eastAsia" w:ascii="Times New Roman" w:hAnsi="Times New Roman" w:cs="Times New Roman"/>
                <w:szCs w:val="21"/>
              </w:rPr>
              <w:t>保证金</w:t>
            </w:r>
          </w:p>
          <w:p>
            <w:pPr>
              <w:jc w:val="center"/>
              <w:rPr>
                <w:rFonts w:ascii="Times New Roman" w:hAnsi="Times New Roman" w:cs="Times New Roman"/>
                <w:szCs w:val="21"/>
              </w:rPr>
            </w:pPr>
            <w:r>
              <w:rPr>
                <w:rFonts w:hint="eastAsia" w:ascii="Times New Roman" w:hAnsi="Times New Roman" w:cs="Times New Roman"/>
                <w:szCs w:val="21"/>
              </w:rPr>
              <w:t>金额</w:t>
            </w:r>
          </w:p>
          <w:p>
            <w:pPr>
              <w:jc w:val="center"/>
              <w:rPr>
                <w:rFonts w:ascii="Times New Roman" w:hAnsi="Times New Roman" w:cs="Times New Roman"/>
                <w:szCs w:val="21"/>
              </w:rPr>
            </w:pPr>
            <w:r>
              <w:rPr>
                <w:rFonts w:hint="eastAsia"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1345" w:type="dxa"/>
            <w:vAlign w:val="center"/>
          </w:tcPr>
          <w:p>
            <w:pPr>
              <w:jc w:val="center"/>
              <w:rPr>
                <w:rFonts w:ascii="Times New Roman" w:hAnsi="Times New Roman" w:cs="Times New Roman"/>
                <w:szCs w:val="21"/>
              </w:rPr>
            </w:pPr>
            <w:r>
              <w:rPr>
                <w:rFonts w:hint="eastAsia" w:ascii="Times New Roman" w:hAnsi="Times New Roman" w:cs="Times New Roman"/>
                <w:szCs w:val="21"/>
              </w:rPr>
              <w:t>NCGT202301</w:t>
            </w:r>
          </w:p>
        </w:tc>
        <w:tc>
          <w:tcPr>
            <w:tcW w:w="2052" w:type="dxa"/>
            <w:vAlign w:val="center"/>
          </w:tcPr>
          <w:p>
            <w:pPr>
              <w:jc w:val="center"/>
              <w:rPr>
                <w:rFonts w:ascii="Times New Roman" w:hAnsi="Times New Roman" w:cs="Times New Roman"/>
                <w:szCs w:val="21"/>
              </w:rPr>
            </w:pPr>
            <w:r>
              <w:rPr>
                <w:rFonts w:hint="eastAsia" w:ascii="Times New Roman" w:hAnsi="Times New Roman" w:cs="Times New Roman"/>
                <w:szCs w:val="21"/>
              </w:rPr>
              <w:t>南川区南平镇玉龙村饰面用石灰岩详查</w:t>
            </w:r>
          </w:p>
        </w:tc>
        <w:tc>
          <w:tcPr>
            <w:tcW w:w="993" w:type="dxa"/>
            <w:vAlign w:val="center"/>
          </w:tcPr>
          <w:p>
            <w:pPr>
              <w:jc w:val="center"/>
              <w:rPr>
                <w:rFonts w:ascii="Times New Roman" w:hAnsi="Times New Roman" w:cs="Times New Roman"/>
                <w:szCs w:val="21"/>
              </w:rPr>
            </w:pPr>
            <w:r>
              <w:rPr>
                <w:rFonts w:hint="eastAsia" w:ascii="Times New Roman" w:hAnsi="Times New Roman" w:cs="Times New Roman"/>
                <w:szCs w:val="21"/>
              </w:rPr>
              <w:t>重庆市南川区南平镇玉龙村</w:t>
            </w:r>
          </w:p>
        </w:tc>
        <w:tc>
          <w:tcPr>
            <w:tcW w:w="850" w:type="dxa"/>
            <w:vAlign w:val="center"/>
          </w:tcPr>
          <w:p>
            <w:pPr>
              <w:jc w:val="center"/>
              <w:rPr>
                <w:rFonts w:ascii="Times New Roman" w:hAnsi="Times New Roman" w:cs="Times New Roman"/>
                <w:szCs w:val="21"/>
              </w:rPr>
            </w:pPr>
            <w:r>
              <w:rPr>
                <w:rFonts w:hint="eastAsia" w:ascii="Times New Roman" w:hAnsi="Times New Roman" w:cs="Times New Roman"/>
                <w:szCs w:val="21"/>
              </w:rPr>
              <w:t>饰面用灰岩</w:t>
            </w:r>
          </w:p>
        </w:tc>
        <w:tc>
          <w:tcPr>
            <w:tcW w:w="2126" w:type="dxa"/>
            <w:vAlign w:val="center"/>
          </w:tcPr>
          <w:p>
            <w:pPr>
              <w:jc w:val="center"/>
              <w:rPr>
                <w:rFonts w:ascii="Times New Roman" w:hAnsi="Times New Roman" w:cs="Times New Roman"/>
                <w:szCs w:val="21"/>
              </w:rPr>
            </w:pPr>
            <w:r>
              <w:rPr>
                <w:rFonts w:hint="eastAsia" w:ascii="Times New Roman" w:hAnsi="Times New Roman" w:cs="Times New Roman"/>
                <w:szCs w:val="21"/>
              </w:rPr>
              <w:t>详见《出让文件》</w:t>
            </w:r>
          </w:p>
        </w:tc>
        <w:tc>
          <w:tcPr>
            <w:tcW w:w="1501" w:type="dxa"/>
            <w:vAlign w:val="center"/>
          </w:tcPr>
          <w:p>
            <w:pPr>
              <w:jc w:val="center"/>
              <w:rPr>
                <w:rFonts w:ascii="Times New Roman" w:hAnsi="Times New Roman" w:cs="Times New Roman"/>
                <w:szCs w:val="21"/>
              </w:rPr>
            </w:pPr>
            <w:r>
              <w:rPr>
                <w:rFonts w:hint="eastAsia" w:ascii="Times New Roman" w:hAnsi="Times New Roman"/>
                <w:szCs w:val="21"/>
              </w:rPr>
              <w:t>0.0546</w:t>
            </w:r>
          </w:p>
        </w:tc>
        <w:tc>
          <w:tcPr>
            <w:tcW w:w="1217" w:type="dxa"/>
            <w:vAlign w:val="center"/>
          </w:tcPr>
          <w:p>
            <w:pPr>
              <w:jc w:val="center"/>
              <w:rPr>
                <w:rFonts w:ascii="Times New Roman" w:hAnsi="Times New Roman" w:cs="Times New Roman"/>
                <w:szCs w:val="21"/>
              </w:rPr>
            </w:pPr>
            <w:r>
              <w:rPr>
                <w:rFonts w:hint="eastAsia" w:ascii="Times New Roman" w:hAnsi="Times New Roman"/>
                <w:szCs w:val="21"/>
              </w:rPr>
              <w:t>详查</w:t>
            </w:r>
          </w:p>
        </w:tc>
        <w:tc>
          <w:tcPr>
            <w:tcW w:w="954" w:type="dxa"/>
            <w:vAlign w:val="center"/>
          </w:tcPr>
          <w:p>
            <w:pPr>
              <w:jc w:val="center"/>
              <w:rPr>
                <w:rFonts w:ascii="Times New Roman" w:hAnsi="Times New Roman" w:cs="Times New Roman"/>
                <w:szCs w:val="21"/>
              </w:rPr>
            </w:pPr>
            <w:r>
              <w:rPr>
                <w:rFonts w:hint="eastAsia" w:ascii="Times New Roman" w:hAnsi="Times New Roman"/>
                <w:szCs w:val="21"/>
              </w:rPr>
              <w:t>5</w:t>
            </w:r>
          </w:p>
        </w:tc>
        <w:tc>
          <w:tcPr>
            <w:tcW w:w="1229" w:type="dxa"/>
            <w:vAlign w:val="center"/>
          </w:tcPr>
          <w:p>
            <w:pPr>
              <w:jc w:val="center"/>
              <w:rPr>
                <w:rFonts w:ascii="Times New Roman" w:hAnsi="Times New Roman" w:cs="Times New Roman"/>
                <w:szCs w:val="21"/>
              </w:rPr>
            </w:pPr>
            <w:r>
              <w:rPr>
                <w:rFonts w:hint="eastAsia" w:ascii="Times New Roman" w:hAnsi="Times New Roman"/>
                <w:szCs w:val="21"/>
              </w:rPr>
              <w:t>3393.53</w:t>
            </w:r>
          </w:p>
        </w:tc>
        <w:tc>
          <w:tcPr>
            <w:tcW w:w="1336" w:type="dxa"/>
            <w:vAlign w:val="center"/>
          </w:tcPr>
          <w:p>
            <w:pPr>
              <w:jc w:val="center"/>
              <w:rPr>
                <w:rFonts w:ascii="Times New Roman" w:hAnsi="Times New Roman" w:cs="Times New Roman"/>
                <w:szCs w:val="21"/>
              </w:rPr>
            </w:pPr>
            <w:r>
              <w:rPr>
                <w:rFonts w:hint="eastAsia" w:ascii="Times New Roman" w:hAnsi="Times New Roman"/>
                <w:szCs w:val="21"/>
              </w:rPr>
              <w:t>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3603" w:type="dxa"/>
            <w:gridSpan w:val="10"/>
            <w:vAlign w:val="center"/>
          </w:tcPr>
          <w:p>
            <w:pPr>
              <w:jc w:val="left"/>
              <w:rPr>
                <w:rFonts w:ascii="Times New Roman" w:hAnsi="Times New Roman" w:cs="Times New Roman"/>
                <w:sz w:val="24"/>
                <w:szCs w:val="24"/>
              </w:rPr>
            </w:pPr>
            <w:r>
              <w:rPr>
                <w:rFonts w:hint="eastAsia" w:ascii="Times New Roman" w:hAnsi="Times New Roman" w:cs="Times New Roman"/>
                <w:sz w:val="24"/>
                <w:szCs w:val="24"/>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single"/>
                <w:lang w:val="en-US" w:eastAsia="zh-CN"/>
              </w:rPr>
              <w:t xml:space="preserve">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hint="eastAsia" w:ascii="Times New Roman" w:hAnsi="Times New Roman" w:cs="Times New Roman"/>
          <w:b/>
          <w:sz w:val="24"/>
          <w:szCs w:val="24"/>
        </w:rPr>
        <w:t>二、出让人：</w:t>
      </w:r>
      <w:r>
        <w:rPr>
          <w:rFonts w:hint="eastAsia" w:ascii="Times New Roman" w:hAnsi="Times New Roman" w:cs="Times New Roman"/>
          <w:sz w:val="24"/>
          <w:szCs w:val="24"/>
        </w:rPr>
        <w:t>重庆市南川区规划和自然资源局</w:t>
      </w:r>
      <w:r>
        <w:rPr>
          <w:rFonts w:hint="eastAsia" w:ascii="Times New Roman" w:hAnsi="Times New Roman" w:cs="Times New Roman"/>
          <w:b w:val="0"/>
          <w:bCs/>
          <w:sz w:val="24"/>
          <w:szCs w:val="24"/>
        </w:rPr>
        <w:t>，地址：南川区南大街89号，联系人：王老师，联系电话：023-71678274。</w:t>
      </w:r>
    </w:p>
    <w:p>
      <w:pPr>
        <w:spacing w:before="0" w:after="0" w:line="360" w:lineRule="exact"/>
        <w:ind w:firstLine="482" w:firstLineChars="200"/>
        <w:rPr>
          <w:rFonts w:ascii="Times New Roman" w:hAnsi="Times New Roman" w:cs="Times New Roman"/>
          <w:sz w:val="24"/>
          <w:szCs w:val="24"/>
        </w:rPr>
      </w:pPr>
      <w:r>
        <w:rPr>
          <w:rFonts w:hint="eastAsia" w:ascii="Times New Roman" w:hAnsi="Times New Roman" w:cs="Times New Roman"/>
          <w:b/>
          <w:sz w:val="24"/>
          <w:szCs w:val="24"/>
        </w:rPr>
        <w:t>三、交易平台：</w:t>
      </w:r>
      <w:r>
        <w:rPr>
          <w:rFonts w:hint="eastAsia" w:ascii="Times New Roman" w:hAnsi="Times New Roman" w:cs="Times New Roman"/>
          <w:sz w:val="24"/>
          <w:szCs w:val="24"/>
        </w:rPr>
        <w:t>重庆市南川区公共资源综合交易中心</w:t>
      </w:r>
      <w:r>
        <w:rPr>
          <w:rFonts w:hint="eastAsia" w:ascii="Times New Roman" w:hAnsi="Times New Roman" w:cs="Times New Roman"/>
          <w:bCs/>
          <w:sz w:val="24"/>
          <w:szCs w:val="24"/>
        </w:rPr>
        <w:t>，</w:t>
      </w:r>
      <w:r>
        <w:rPr>
          <w:rFonts w:hint="eastAsia" w:ascii="Times New Roman" w:hAnsi="Times New Roman" w:cs="Times New Roman"/>
          <w:sz w:val="24"/>
          <w:szCs w:val="24"/>
        </w:rPr>
        <w:t>地址：重庆市南川区商务中心右副楼2楼，联系人：赵老师，联系电话：023-71413398。</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（一）竞买申请人须为依法登记的营利法人或者非营利法人中的事业单位法人；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1.</w:t>
      </w:r>
      <w:r>
        <w:rPr>
          <w:rFonts w:hint="eastAsia" w:ascii="Times New Roman" w:hAnsi="Times New Roman" w:cs="Times New Roman"/>
          <w:sz w:val="24"/>
          <w:szCs w:val="24"/>
        </w:rPr>
        <w:t>在自然资源部矿业权人勘查开采信息公示系统的</w:t>
      </w:r>
      <w:r>
        <w:rPr>
          <w:rFonts w:ascii="Times New Roman" w:hAnsi="Times New Roman" w:cs="Times New Roman"/>
          <w:sz w:val="24"/>
          <w:szCs w:val="24"/>
        </w:rPr>
        <w:t>“</w:t>
      </w:r>
      <w:r>
        <w:rPr>
          <w:rFonts w:hint="eastAsia" w:ascii="Times New Roman" w:hAnsi="Times New Roman" w:cs="Times New Roman"/>
          <w:sz w:val="24"/>
          <w:szCs w:val="24"/>
        </w:rPr>
        <w:t>矿业权人异常名录</w:t>
      </w:r>
      <w:r>
        <w:rPr>
          <w:rFonts w:ascii="Times New Roman" w:hAnsi="Times New Roman" w:cs="Times New Roman"/>
          <w:sz w:val="24"/>
          <w:szCs w:val="24"/>
        </w:rPr>
        <w:t>”“</w:t>
      </w:r>
      <w:r>
        <w:rPr>
          <w:rFonts w:hint="eastAsia" w:ascii="Times New Roman" w:hAnsi="Times New Roman" w:cs="Times New Roman"/>
          <w:sz w:val="24"/>
          <w:szCs w:val="24"/>
        </w:rPr>
        <w:t>矿业权人严重违法名单</w:t>
      </w:r>
      <w:r>
        <w:rPr>
          <w:rFonts w:ascii="Times New Roman" w:hAnsi="Times New Roman" w:cs="Times New Roman"/>
          <w:sz w:val="24"/>
          <w:szCs w:val="24"/>
        </w:rPr>
        <w:t>”</w:t>
      </w:r>
      <w:r>
        <w:rPr>
          <w:rFonts w:hint="eastAsia" w:ascii="Times New Roman" w:hAnsi="Times New Roman" w:cs="Times New Roman"/>
          <w:sz w:val="24"/>
          <w:szCs w:val="24"/>
        </w:rPr>
        <w:t>内；</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2.</w:t>
      </w:r>
      <w:r>
        <w:rPr>
          <w:rFonts w:hint="eastAsia" w:ascii="Times New Roman" w:hAnsi="Times New Roman" w:cs="Times New Roman"/>
          <w:sz w:val="24"/>
          <w:szCs w:val="24"/>
        </w:rPr>
        <w:t>通过</w:t>
      </w:r>
      <w:r>
        <w:rPr>
          <w:rFonts w:ascii="Times New Roman" w:hAnsi="Times New Roman" w:cs="Times New Roman"/>
          <w:sz w:val="24"/>
          <w:szCs w:val="24"/>
        </w:rPr>
        <w:t>“</w:t>
      </w:r>
      <w:r>
        <w:rPr>
          <w:rFonts w:hint="eastAsia" w:ascii="Times New Roman" w:hAnsi="Times New Roman" w:cs="Times New Roman"/>
          <w:sz w:val="24"/>
          <w:szCs w:val="24"/>
        </w:rPr>
        <w:t>信用中国</w:t>
      </w:r>
      <w:r>
        <w:rPr>
          <w:rFonts w:ascii="Times New Roman" w:hAnsi="Times New Roman" w:cs="Times New Roman"/>
          <w:sz w:val="24"/>
          <w:szCs w:val="24"/>
        </w:rPr>
        <w:t>”</w:t>
      </w:r>
      <w:r>
        <w:rPr>
          <w:rFonts w:hint="eastAsia" w:ascii="Times New Roman" w:hAnsi="Times New Roman" w:cs="Times New Roman"/>
          <w:sz w:val="24"/>
          <w:szCs w:val="24"/>
        </w:rPr>
        <w:t>查询，在自然资源部联合惩戒备忘录或重庆市信用惩戒严重失信主体</w:t>
      </w:r>
      <w:r>
        <w:rPr>
          <w:rFonts w:ascii="Times New Roman" w:hAnsi="Times New Roman" w:cs="Times New Roman"/>
          <w:sz w:val="24"/>
          <w:szCs w:val="24"/>
        </w:rPr>
        <w:t>“</w:t>
      </w:r>
      <w:r>
        <w:rPr>
          <w:rFonts w:hint="eastAsia" w:ascii="Times New Roman" w:hAnsi="Times New Roman" w:cs="Times New Roman"/>
          <w:sz w:val="24"/>
          <w:szCs w:val="24"/>
        </w:rPr>
        <w:t>黑名单</w:t>
      </w:r>
      <w:r>
        <w:rPr>
          <w:rFonts w:ascii="Times New Roman" w:hAnsi="Times New Roman" w:cs="Times New Roman"/>
          <w:sz w:val="24"/>
          <w:szCs w:val="24"/>
        </w:rPr>
        <w:t>”</w:t>
      </w:r>
      <w:r>
        <w:rPr>
          <w:rFonts w:hint="eastAsia" w:ascii="Times New Roman" w:hAnsi="Times New Roman" w:cs="Times New Roman"/>
          <w:sz w:val="24"/>
          <w:szCs w:val="24"/>
        </w:rPr>
        <w:t>内限制禁止参与矿业权出让的；</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3.</w:t>
      </w:r>
      <w:r>
        <w:rPr>
          <w:rFonts w:hint="eastAsia"/>
        </w:rPr>
        <w:t xml:space="preserve"> </w:t>
      </w:r>
      <w:r>
        <w:rPr>
          <w:rFonts w:hint="eastAsia" w:ascii="Times New Roman" w:hAnsi="Times New Roman" w:cs="Times New Roman"/>
          <w:sz w:val="24"/>
          <w:szCs w:val="24"/>
        </w:rPr>
        <w:t>被吊销勘查许可证之日起6个月内。</w:t>
      </w:r>
    </w:p>
    <w:p>
      <w:pPr>
        <w:spacing w:before="0" w:after="0" w:line="360" w:lineRule="exact"/>
        <w:ind w:firstLine="480" w:firstLineChars="200"/>
        <w:rPr>
          <w:del w:id="0" w:author="赵国华" w:date="2023-09-08T09:17:55Z"/>
          <w:rFonts w:ascii="Times New Roman" w:hAnsi="Times New Roman" w:cs="Times New Roman"/>
          <w:i/>
          <w:sz w:val="24"/>
          <w:szCs w:val="24"/>
          <w:u w:val="single"/>
        </w:rPr>
      </w:pP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出让方式：挂牌</w:t>
      </w:r>
      <w:r>
        <w:rPr>
          <w:rFonts w:hint="eastAsia"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公告时间：2023年09月08日</w:t>
      </w:r>
      <w:r>
        <w:rPr>
          <w:rFonts w:hint="eastAsia" w:ascii="Times New Roman" w:hAnsi="Times New Roman" w:cs="Times New Roman"/>
          <w:i w:val="0"/>
          <w:sz w:val="24"/>
          <w:szCs w:val="24"/>
          <w:u w:val="none"/>
        </w:rPr>
        <w:t>-</w:t>
      </w:r>
      <w:r>
        <w:rPr>
          <w:rFonts w:hint="eastAsia" w:ascii="Times New Roman" w:hAnsi="Times New Roman" w:cs="Times New Roman"/>
          <w:sz w:val="24"/>
          <w:szCs w:val="24"/>
        </w:rPr>
        <w:t>2023年10月11日</w:t>
      </w:r>
    </w:p>
    <w:p>
      <w:pPr>
        <w:spacing w:before="0" w:after="0" w:line="360" w:lineRule="exact"/>
        <w:ind w:firstLine="480" w:firstLineChars="200"/>
        <w:rPr>
          <w:rFonts w:hint="eastAsia" w:ascii="Times New Roman" w:hAnsi="Times New Roman" w:cs="Times New Roman"/>
          <w:i/>
          <w:sz w:val="24"/>
          <w:szCs w:val="24"/>
          <w:u w:val="single"/>
        </w:rPr>
      </w:pPr>
      <w:r>
        <w:rPr>
          <w:rFonts w:hint="eastAsia" w:ascii="Times New Roman" w:hAnsi="Times New Roman" w:cs="Times New Roman"/>
          <w:sz w:val="24"/>
          <w:szCs w:val="24"/>
        </w:rPr>
        <w:t>挂牌时间：</w:t>
      </w:r>
      <w:r>
        <w:rPr>
          <w:rFonts w:hint="eastAsia" w:ascii="Times New Roman" w:hAnsi="Times New Roman" w:cs="Times New Roman"/>
          <w:sz w:val="24"/>
          <w:szCs w:val="24"/>
          <w:lang w:val="en-US" w:eastAsia="zh-CN"/>
        </w:rPr>
        <w:t>2023年10月12日09时</w:t>
      </w:r>
      <w:r>
        <w:rPr>
          <w:rFonts w:hint="eastAsia" w:ascii="Times New Roman" w:hAnsi="Times New Roman" w:cs="Times New Roman"/>
          <w:i w:val="0"/>
          <w:sz w:val="24"/>
          <w:szCs w:val="24"/>
          <w:u w:val="none"/>
        </w:rPr>
        <w:t>-</w:t>
      </w:r>
      <w:r>
        <w:rPr>
          <w:rFonts w:hint="eastAsia" w:ascii="Times New Roman" w:hAnsi="Times New Roman" w:cs="Times New Roman"/>
          <w:sz w:val="24"/>
          <w:szCs w:val="24"/>
        </w:rPr>
        <w:t>2023年10月25日17时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地点：</w:t>
      </w:r>
      <w:r>
        <w:rPr>
          <w:rFonts w:hint="eastAsia" w:ascii="Times New Roman" w:hAnsi="Times New Roman" w:cs="Times New Roman"/>
          <w:sz w:val="24"/>
          <w:szCs w:val="24"/>
          <w:lang w:val="en-US" w:eastAsia="zh-CN"/>
        </w:rPr>
        <w:t>重庆市南川区商务中心右副楼2楼</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六、获取竞买文件的途径和申请报名的起止时间及方式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（一）申请人可在报名期限内到重庆市南川区公共资源综合交易中心领取出让相关资料，也可在报名期限内登录重庆市南川区公共资源综合交易中心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https://www.cqggzy.com/nanchuanweb/，进入重庆市国有建设用地使用权和矿业权网上交易系统</w:t>
      </w:r>
      <w:r>
        <w:rPr>
          <w:rFonts w:hint="eastAsia" w:ascii="Times New Roman" w:hAnsi="Times New Roman" w:cs="Times New Roman"/>
          <w:i/>
          <w:sz w:val="24"/>
          <w:szCs w:val="24"/>
          <w:u w:val="single"/>
        </w:rPr>
        <w:t>（网址：</w:t>
      </w:r>
      <w:r>
        <w:rPr>
          <w:rFonts w:ascii="Times New Roman" w:hAnsi="Times New Roman" w:cs="Times New Roman"/>
          <w:i/>
          <w:sz w:val="24"/>
          <w:szCs w:val="24"/>
          <w:u w:val="single"/>
        </w:rPr>
        <w:t>https://td.cqggzy.com/</w:t>
      </w:r>
      <w:r>
        <w:rPr>
          <w:rFonts w:hint="eastAsia" w:ascii="Times New Roman" w:hAnsi="Times New Roman" w:cs="Times New Roman"/>
          <w:i/>
          <w:sz w:val="24"/>
          <w:szCs w:val="24"/>
          <w:u w:val="single"/>
        </w:rPr>
        <w:t>）</w:t>
      </w:r>
      <w:r>
        <w:rPr>
          <w:rFonts w:hint="eastAsia"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（二）报名时限：2023年09月08日09时</w:t>
      </w:r>
      <w:r>
        <w:rPr>
          <w:rFonts w:hint="eastAsia" w:ascii="Times New Roman" w:hAnsi="Times New Roman" w:cs="Times New Roman"/>
          <w:i w:val="0"/>
          <w:sz w:val="24"/>
          <w:szCs w:val="24"/>
          <w:u w:val="none"/>
        </w:rPr>
        <w:t>－2023年10月11日17时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本次公开出让的探矿权采取</w:t>
      </w:r>
      <w:r>
        <w:rPr>
          <w:rFonts w:hint="eastAsia" w:ascii="Times New Roman" w:hAnsi="Times New Roman" w:cs="Times New Roman"/>
          <w:sz w:val="24"/>
          <w:szCs w:val="24"/>
          <w:lang w:val="en-US" w:eastAsia="zh-CN"/>
        </w:rPr>
        <w:t>现场报名 方式：</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i/>
          <w:sz w:val="24"/>
          <w:szCs w:val="24"/>
          <w:u w:val="single"/>
        </w:rPr>
        <w:t>现场报名：</w:t>
      </w:r>
      <w:r>
        <w:rPr>
          <w:rFonts w:hint="eastAsia" w:ascii="Times New Roman" w:hAnsi="Times New Roman" w:cs="Times New Roman"/>
          <w:sz w:val="24"/>
          <w:szCs w:val="24"/>
        </w:rPr>
        <w:t>申请人可于报名期限内足额交纳竞买保证金到指定账户，并持报名资料到</w:t>
      </w:r>
      <w:r>
        <w:rPr>
          <w:rFonts w:hint="eastAsia" w:ascii="Times New Roman" w:hAnsi="Times New Roman" w:cs="Times New Roman"/>
          <w:i w:val="0"/>
          <w:sz w:val="24"/>
          <w:szCs w:val="24"/>
          <w:u w:val="none"/>
        </w:rPr>
        <w:t>重庆市南川区公共资源综合交易中心</w:t>
      </w:r>
      <w:r>
        <w:rPr>
          <w:rFonts w:hint="eastAsia"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i/>
          <w:sz w:val="24"/>
          <w:szCs w:val="24"/>
          <w:u w:val="single"/>
        </w:rPr>
        <w:t>网上报名：</w:t>
      </w:r>
      <w:r>
        <w:rPr>
          <w:rFonts w:hint="eastAsia" w:ascii="Times New Roman" w:hAnsi="Times New Roman" w:cs="Times New Roman"/>
          <w:sz w:val="24"/>
          <w:szCs w:val="24"/>
        </w:rPr>
        <w:t>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（四）保证金的交纳详见《出让文件》</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本次挂牌出让为无底价，采用增价报价的方式，按照价高者得原则确定竞得人。挂牌成交后的竞得人按规定即时签订《成交确认书》，成交结果在相关网站公示</w:t>
      </w:r>
      <w:r>
        <w:rPr>
          <w:rFonts w:ascii="Times New Roman" w:hAnsi="Times New Roman" w:cs="Times New Roman"/>
          <w:sz w:val="24"/>
          <w:szCs w:val="24"/>
        </w:rPr>
        <w:t>10</w:t>
      </w:r>
      <w:r>
        <w:rPr>
          <w:rFonts w:hint="eastAsia" w:ascii="Times New Roman" w:hAnsi="Times New Roman" w:cs="Times New Roman"/>
          <w:sz w:val="24"/>
          <w:szCs w:val="24"/>
        </w:rPr>
        <w:t>个工作日。</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（一）因地质勘查工作实际需要，</w:t>
      </w:r>
      <w:r>
        <w:rPr>
          <w:rFonts w:hint="eastAsia" w:ascii="Times New Roman" w:hAnsi="Times New Roman" w:cs="Times New Roman"/>
          <w:color w:val="auto"/>
          <w:kern w:val="0"/>
          <w:sz w:val="24"/>
          <w:szCs w:val="24"/>
        </w:rPr>
        <w:t>有关</w:t>
      </w:r>
      <w:r>
        <w:rPr>
          <w:rFonts w:hint="eastAsia" w:ascii="Times New Roman" w:hAnsi="Times New Roman" w:cs="Times New Roman"/>
          <w:kern w:val="0"/>
          <w:sz w:val="24"/>
          <w:szCs w:val="24"/>
        </w:rPr>
        <w:t>该宗探矿权</w:t>
      </w:r>
      <w:r>
        <w:rPr>
          <w:rFonts w:hint="eastAsia" w:ascii="Times New Roman" w:hAnsi="Times New Roman" w:cs="Times New Roman"/>
          <w:color w:val="auto"/>
          <w:kern w:val="0"/>
          <w:sz w:val="24"/>
          <w:szCs w:val="24"/>
        </w:rPr>
        <w:t>的</w:t>
      </w:r>
      <w:r>
        <w:rPr>
          <w:rFonts w:hint="eastAsia" w:ascii="Times New Roman" w:hAnsi="Times New Roman" w:cs="Times New Roman"/>
          <w:kern w:val="0"/>
          <w:sz w:val="24"/>
          <w:szCs w:val="24"/>
        </w:rPr>
        <w:t>用地、用水、用电、公路、环保、基础设施等</w:t>
      </w:r>
      <w:r>
        <w:rPr>
          <w:rFonts w:hint="eastAsia" w:ascii="Times New Roman" w:hAnsi="Times New Roman" w:cs="Times New Roman"/>
          <w:color w:val="auto"/>
          <w:kern w:val="0"/>
          <w:sz w:val="24"/>
          <w:szCs w:val="24"/>
        </w:rPr>
        <w:t>工作，</w:t>
      </w:r>
      <w:r>
        <w:rPr>
          <w:rFonts w:hint="eastAsia" w:ascii="Times New Roman" w:hAnsi="Times New Roman" w:cs="Times New Roman"/>
          <w:kern w:val="0"/>
          <w:sz w:val="24"/>
          <w:szCs w:val="24"/>
        </w:rPr>
        <w:t>由竞得人自行负责</w:t>
      </w:r>
      <w:r>
        <w:rPr>
          <w:rFonts w:hint="eastAsia" w:ascii="Times New Roman" w:hAnsi="Times New Roman" w:cs="Times New Roman"/>
          <w:color w:val="auto"/>
          <w:kern w:val="0"/>
          <w:sz w:val="24"/>
          <w:szCs w:val="24"/>
        </w:rPr>
        <w:t>解决</w:t>
      </w:r>
      <w:r>
        <w:rPr>
          <w:rFonts w:hint="eastAsia" w:ascii="Times New Roman" w:hAnsi="Times New Roman" w:cs="Times New Roman"/>
          <w:kern w:val="0"/>
          <w:sz w:val="24"/>
          <w:szCs w:val="24"/>
        </w:rPr>
        <w:t>并依法完善</w:t>
      </w:r>
      <w:r>
        <w:rPr>
          <w:rFonts w:hint="eastAsia" w:ascii="Times New Roman" w:hAnsi="Times New Roman" w:cs="Times New Roman"/>
          <w:color w:val="auto"/>
          <w:kern w:val="0"/>
          <w:sz w:val="24"/>
          <w:szCs w:val="24"/>
        </w:rPr>
        <w:t>相关手续</w:t>
      </w:r>
      <w:r>
        <w:rPr>
          <w:rFonts w:hint="eastAsia" w:ascii="Times New Roman" w:hAnsi="Times New Roman" w:cs="Times New Roman"/>
          <w:kern w:val="0"/>
          <w:sz w:val="24"/>
          <w:szCs w:val="24"/>
        </w:rPr>
        <w:t>。</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w:t>
      </w:r>
      <w:r>
        <w:rPr>
          <w:rFonts w:hint="eastAsia" w:ascii="Times New Roman" w:hAnsi="Times New Roman" w:cs="Times New Roman"/>
          <w:color w:val="auto"/>
          <w:kern w:val="0"/>
          <w:sz w:val="24"/>
          <w:szCs w:val="24"/>
        </w:rPr>
        <w:t>二</w:t>
      </w:r>
      <w:r>
        <w:rPr>
          <w:rFonts w:hint="eastAsia" w:ascii="Times New Roman" w:hAnsi="Times New Roman" w:cs="Times New Roman"/>
          <w:kern w:val="0"/>
          <w:sz w:val="24"/>
          <w:szCs w:val="24"/>
        </w:rPr>
        <w:t>）竞得人须在取得了勘查许可证后方可开展勘查工作，并且在勘查、经营活动中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（三）非因出让人过失造成的探矿权损减（包含但不限于勘查区块面积缩减、勘查许可证废止、勘查许可证被吊销、出让合同终止等），出让人已经收取的探矿权出让收益等费用一律不予退还。</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（四）矿产资源勘查有着不可预见的风险，竞买申请人须慎重并自行承担风险。出现包含但不限于下列的情形，出让人不退还已收取的探矿权出让收益等相关费用。</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1.</w:t>
      </w:r>
      <w:r>
        <w:rPr>
          <w:rFonts w:hint="eastAsia" w:ascii="Times New Roman" w:hAnsi="Times New Roman" w:cs="Times New Roman"/>
          <w:kern w:val="0"/>
          <w:sz w:val="24"/>
          <w:szCs w:val="24"/>
        </w:rPr>
        <w:t>在勘查许可证载明的区块范围和有效期限内</w:t>
      </w:r>
      <w:r>
        <w:rPr>
          <w:rFonts w:ascii="Times New Roman" w:hAnsi="Times New Roman" w:cs="Times New Roman"/>
          <w:kern w:val="0"/>
          <w:sz w:val="24"/>
          <w:szCs w:val="24"/>
        </w:rPr>
        <w:t>,</w:t>
      </w:r>
      <w:r>
        <w:rPr>
          <w:rFonts w:hint="eastAsia" w:ascii="Times New Roman" w:hAnsi="Times New Roman" w:cs="Times New Roman"/>
          <w:kern w:val="0"/>
          <w:sz w:val="24"/>
          <w:szCs w:val="24"/>
        </w:rPr>
        <w:t>不能找到可供开采的矿产资源；</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2.</w:t>
      </w:r>
      <w:r>
        <w:rPr>
          <w:rFonts w:hint="eastAsia" w:ascii="Times New Roman" w:hAnsi="Times New Roman" w:cs="Times New Roman"/>
          <w:kern w:val="0"/>
          <w:sz w:val="24"/>
          <w:szCs w:val="24"/>
        </w:rPr>
        <w:t>法律法规修改或国家政策变化、矿产资源规划调整</w:t>
      </w:r>
      <w:r>
        <w:rPr>
          <w:rFonts w:hint="eastAsia" w:ascii="Times New Roman" w:hAnsi="Times New Roman" w:cs="Times New Roman"/>
          <w:color w:val="auto"/>
          <w:kern w:val="0"/>
          <w:sz w:val="24"/>
          <w:szCs w:val="24"/>
        </w:rPr>
        <w:t>，包括但不限于安全、环境保护、产业政策等要求</w:t>
      </w:r>
      <w:r>
        <w:rPr>
          <w:rFonts w:ascii="Times New Roman" w:hAnsi="Times New Roman" w:cs="Times New Roman"/>
          <w:color w:val="auto"/>
          <w:kern w:val="0"/>
          <w:sz w:val="24"/>
          <w:szCs w:val="24"/>
        </w:rPr>
        <w:t>,</w:t>
      </w:r>
      <w:r>
        <w:rPr>
          <w:rFonts w:hint="eastAsia" w:ascii="Times New Roman" w:hAnsi="Times New Roman" w:cs="Times New Roman"/>
          <w:color w:val="auto"/>
          <w:kern w:val="0"/>
          <w:sz w:val="24"/>
          <w:szCs w:val="24"/>
        </w:rPr>
        <w:t>对特定探矿手段、选矿方法的限制对探矿权造成不利影响或不能转为采矿权的</w:t>
      </w:r>
      <w:r>
        <w:rPr>
          <w:rFonts w:hint="eastAsia" w:ascii="Times New Roman" w:hAnsi="Times New Roman" w:cs="Times New Roman"/>
          <w:kern w:val="0"/>
          <w:sz w:val="24"/>
          <w:szCs w:val="24"/>
        </w:rPr>
        <w:t>；</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3.</w:t>
      </w:r>
      <w:r>
        <w:rPr>
          <w:rFonts w:hint="eastAsia" w:ascii="Times New Roman" w:hAnsi="Times New Roman" w:cs="Times New Roman"/>
          <w:kern w:val="0"/>
          <w:sz w:val="24"/>
          <w:szCs w:val="24"/>
        </w:rPr>
        <w:t>以往开展的地质工作</w:t>
      </w:r>
      <w:r>
        <w:rPr>
          <w:rFonts w:hint="eastAsia" w:ascii="Times New Roman" w:hAnsi="Times New Roman" w:cs="Times New Roman"/>
          <w:color w:val="auto"/>
          <w:kern w:val="0"/>
          <w:sz w:val="24"/>
          <w:szCs w:val="24"/>
        </w:rPr>
        <w:t>、</w:t>
      </w:r>
      <w:r>
        <w:rPr>
          <w:rFonts w:hint="eastAsia" w:ascii="Times New Roman" w:hAnsi="Times New Roman" w:cs="Times New Roman"/>
          <w:kern w:val="0"/>
          <w:sz w:val="24"/>
          <w:szCs w:val="24"/>
        </w:rPr>
        <w:t>形成的地质勘查资料存在瑕疵；</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对本次出让的探矿权存有异议的，应在公告期截止前以书面方式向</w:t>
      </w:r>
      <w:r>
        <w:rPr>
          <w:rFonts w:hint="eastAsia" w:ascii="Times New Roman" w:hAnsi="Times New Roman" w:cs="Times New Roman"/>
          <w:sz w:val="24"/>
          <w:szCs w:val="24"/>
        </w:rPr>
        <w:t>重庆市南川区</w:t>
      </w:r>
      <w:r>
        <w:rPr>
          <w:rFonts w:hint="eastAsia" w:ascii="Times New Roman" w:hAnsi="Times New Roman" w:cs="Times New Roman"/>
          <w:color w:val="auto"/>
          <w:sz w:val="24"/>
          <w:szCs w:val="24"/>
        </w:rPr>
        <w:t>提出；对出让交易程序存有异议的，应在结果公示期截止前以书面方式向</w:t>
      </w:r>
      <w:r>
        <w:rPr>
          <w:rFonts w:hint="eastAsia" w:ascii="Times New Roman" w:hAnsi="Times New Roman" w:cs="Times New Roman"/>
          <w:sz w:val="24"/>
          <w:szCs w:val="24"/>
        </w:rPr>
        <w:t>重庆市南川区公共资源综合交易中心</w:t>
      </w:r>
      <w:r>
        <w:rPr>
          <w:rFonts w:hint="eastAsia" w:ascii="Times New Roman" w:hAnsi="Times New Roman" w:cs="Times New Roman"/>
          <w:color w:val="auto"/>
          <w:sz w:val="24"/>
          <w:szCs w:val="24"/>
        </w:rPr>
        <w:t>提出。</w:t>
      </w:r>
      <w:r>
        <w:rPr>
          <w:rFonts w:hint="eastAsia" w:ascii="Times New Roman" w:hAnsi="Times New Roman" w:cs="Times New Roman"/>
          <w:kern w:val="0"/>
          <w:sz w:val="24"/>
          <w:szCs w:val="24"/>
        </w:rPr>
        <w:t>根据所提异议的具体情况，按照</w:t>
      </w:r>
      <w:r>
        <w:rPr>
          <w:rFonts w:hint="eastAsia"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hint="eastAsia"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（一）对违反公共资源交易法律法规，违背诚实信用原则的竞买人，将按照《关于对公共资源领域严重失信主体开展联合惩戒备忘录》（发改法规〔</w:t>
      </w:r>
      <w:r>
        <w:rPr>
          <w:rFonts w:ascii="Times New Roman" w:hAnsi="Times New Roman" w:cs="Times New Roman"/>
          <w:color w:val="auto"/>
          <w:sz w:val="24"/>
          <w:szCs w:val="24"/>
        </w:rPr>
        <w:t>2018</w:t>
      </w:r>
      <w:r>
        <w:rPr>
          <w:rFonts w:hint="eastAsia" w:ascii="Times New Roman" w:hAnsi="Times New Roman" w:cs="Times New Roman"/>
          <w:color w:val="auto"/>
          <w:sz w:val="24"/>
          <w:szCs w:val="24"/>
        </w:rPr>
        <w:t>〕</w:t>
      </w:r>
      <w:r>
        <w:rPr>
          <w:rFonts w:ascii="Times New Roman" w:hAnsi="Times New Roman" w:cs="Times New Roman"/>
          <w:color w:val="auto"/>
          <w:sz w:val="24"/>
          <w:szCs w:val="24"/>
        </w:rPr>
        <w:t>457</w:t>
      </w:r>
      <w:r>
        <w:rPr>
          <w:rFonts w:hint="eastAsia" w:ascii="Times New Roman" w:hAnsi="Times New Roman" w:cs="Times New Roman"/>
          <w:color w:val="auto"/>
          <w:sz w:val="24"/>
          <w:szCs w:val="24"/>
        </w:rPr>
        <w:t>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（二）有下列情形之一的，视为竞买人、竞得人违约，竞得结果无效，并将其列入失信联合惩戒名单并承担相当于竞买保证金的违约金，出让方有权不再签订出让合同或解除合同：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1.</w:t>
      </w:r>
      <w:r>
        <w:rPr>
          <w:rFonts w:hint="eastAsia" w:ascii="Times New Roman" w:hAnsi="Times New Roman" w:cs="Times New Roman"/>
          <w:color w:val="auto"/>
          <w:sz w:val="24"/>
          <w:szCs w:val="24"/>
        </w:rPr>
        <w:t>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2.</w:t>
      </w:r>
      <w:r>
        <w:rPr>
          <w:rFonts w:hint="eastAsia" w:ascii="Times New Roman" w:hAnsi="Times New Roman" w:cs="Times New Roman"/>
          <w:color w:val="auto"/>
          <w:sz w:val="24"/>
          <w:szCs w:val="24"/>
        </w:rPr>
        <w:t>竞买人弄虚作假，骗取交易资格或竞得的；</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3.</w:t>
      </w:r>
      <w:r>
        <w:rPr>
          <w:rFonts w:hint="eastAsia" w:ascii="Times New Roman" w:hAnsi="Times New Roman" w:cs="Times New Roman"/>
          <w:color w:val="auto"/>
          <w:sz w:val="24"/>
          <w:szCs w:val="24"/>
        </w:rPr>
        <w:t>采取行贿或其他不正当手段竞得的；</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4.</w:t>
      </w:r>
      <w:r>
        <w:rPr>
          <w:rFonts w:hint="eastAsia" w:ascii="Times New Roman" w:hAnsi="Times New Roman" w:cs="Times New Roman"/>
          <w:color w:val="auto"/>
          <w:sz w:val="24"/>
          <w:szCs w:val="24"/>
        </w:rPr>
        <w:t>竞得人逾期不签订或者拒绝签订成交确认书的；</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5.</w:t>
      </w:r>
      <w:r>
        <w:rPr>
          <w:rFonts w:hint="eastAsia" w:ascii="Times New Roman" w:hAnsi="Times New Roman" w:cs="Times New Roman"/>
          <w:color w:val="auto"/>
          <w:sz w:val="24"/>
          <w:szCs w:val="24"/>
        </w:rPr>
        <w:t>竞得人逾期不签订或者拒绝签订出让合同的；</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6.</w:t>
      </w:r>
      <w:r>
        <w:rPr>
          <w:rFonts w:hint="eastAsia" w:ascii="Times New Roman" w:hAnsi="Times New Roman" w:cs="Times New Roman"/>
          <w:color w:val="auto"/>
          <w:sz w:val="24"/>
          <w:szCs w:val="24"/>
        </w:rPr>
        <w:t>其他依法应当认定为违约的情形。</w:t>
      </w:r>
    </w:p>
    <w:p>
      <w:pPr>
        <w:spacing w:before="0" w:after="0" w:line="360" w:lineRule="exact"/>
        <w:ind w:firstLine="480" w:firstLineChars="200"/>
        <w:rPr>
          <w:del w:id="1" w:author="赵国华" w:date="2023-09-08T09:18:03Z"/>
          <w:rFonts w:ascii="Times New Roman" w:hAnsi="Times New Roman" w:cs="Times New Roman"/>
          <w:i/>
          <w:sz w:val="24"/>
          <w:szCs w:val="24"/>
          <w:u w:val="single"/>
        </w:rPr>
      </w:pP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十一、其他重要提示</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sz w:val="24"/>
          <w:szCs w:val="24"/>
        </w:rPr>
        <w:t>（</w:t>
      </w:r>
      <w:r>
        <w:rPr>
          <w:rFonts w:hint="eastAsia" w:ascii="Times New Roman" w:hAnsi="Times New Roman" w:cs="Times New Roman"/>
          <w:kern w:val="0"/>
          <w:sz w:val="24"/>
          <w:szCs w:val="24"/>
        </w:rPr>
        <w:t>一）竞得人在探矿权区块范围内开展勘查工作应按照《矿山地质环境保护规定》履行矿山地质环境保护相关义务。</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（二）按照国家和重庆市有关规定，本次出让的探矿权在转采矿权后需缴纳采矿权出让收益的应按规定缴纳。</w:t>
      </w:r>
    </w:p>
    <w:p>
      <w:pPr>
        <w:spacing w:before="0" w:after="0" w:line="360" w:lineRule="exact"/>
        <w:ind w:firstLine="480" w:firstLineChars="200"/>
        <w:rPr>
          <w:ins w:id="2" w:author="赵国华" w:date="2023-09-08T09:18:07Z"/>
          <w:rFonts w:hint="eastAsia" w:ascii="Times New Roman" w:hAnsi="Times New Roman" w:cs="Times New Roman"/>
          <w:i w:val="0"/>
          <w:kern w:val="0"/>
          <w:sz w:val="24"/>
          <w:szCs w:val="24"/>
          <w:u w:val="none"/>
        </w:rPr>
      </w:pPr>
      <w:r>
        <w:rPr>
          <w:rFonts w:hint="eastAsia" w:ascii="Times New Roman" w:hAnsi="Times New Roman" w:cs="Times New Roman"/>
          <w:i w:val="0"/>
          <w:kern w:val="0"/>
          <w:sz w:val="24"/>
          <w:szCs w:val="24"/>
          <w:u w:val="none"/>
        </w:rPr>
        <w:t xml:space="preserve">（三）矿产资源勘查有着不可预见的风险，竞买申请人须慎重并自行承担风险，本行政区域内首次设立饰面用灰岩探矿权，无先列可循，且渝南片区亦无开采嘉陵江组灰岩作饰面石材的先列，本宗探矿权详查出让前期技术报告编制工作使用的技术依据中部分为类比参考，存在一定的不确定和不完整性因素，故本项目实施亦存在一定的投资风险，竞买人应多方权衡风险。 </w:t>
      </w:r>
    </w:p>
    <w:p>
      <w:pPr>
        <w:spacing w:before="0" w:after="0" w:line="360" w:lineRule="exact"/>
        <w:ind w:firstLine="480" w:firstLineChars="200"/>
        <w:rPr>
          <w:ins w:id="3" w:author="赵国华" w:date="2023-09-08T09:18:12Z"/>
          <w:rFonts w:hint="eastAsia" w:ascii="Times New Roman" w:hAnsi="Times New Roman" w:cs="Times New Roman"/>
          <w:i w:val="0"/>
          <w:kern w:val="0"/>
          <w:sz w:val="24"/>
          <w:szCs w:val="24"/>
          <w:u w:val="none"/>
        </w:rPr>
      </w:pPr>
      <w:r>
        <w:rPr>
          <w:rFonts w:hint="eastAsia" w:ascii="Times New Roman" w:hAnsi="Times New Roman" w:cs="Times New Roman"/>
          <w:i w:val="0"/>
          <w:kern w:val="0"/>
          <w:sz w:val="24"/>
          <w:szCs w:val="24"/>
          <w:u w:val="none"/>
        </w:rPr>
        <w:t xml:space="preserve">（四）该宗探矿权勘查范围7号至8号拐点线离南平至石莲公路（县道）玉龙段不足100米，竞买人竞得后，在申请探矿权转采矿权前，自行向交通管理部门申请，改变南平至石莲公路玉龙段行车路径，保证采矿权范围距离南平至石莲公路100米以上。 </w:t>
      </w:r>
    </w:p>
    <w:p>
      <w:pPr>
        <w:spacing w:before="0" w:after="0" w:line="360" w:lineRule="exact"/>
        <w:ind w:firstLine="480" w:firstLineChars="200"/>
        <w:rPr>
          <w:rFonts w:hint="eastAsia" w:ascii="Times New Roman" w:hAnsi="Times New Roman" w:cs="Times New Roman"/>
          <w:i w:val="0"/>
          <w:kern w:val="0"/>
          <w:sz w:val="24"/>
          <w:szCs w:val="24"/>
          <w:u w:val="none"/>
        </w:rPr>
      </w:pPr>
      <w:r>
        <w:rPr>
          <w:rFonts w:hint="eastAsia" w:ascii="Times New Roman" w:hAnsi="Times New Roman" w:cs="Times New Roman"/>
          <w:i w:val="0"/>
          <w:kern w:val="0"/>
          <w:sz w:val="24"/>
          <w:szCs w:val="24"/>
          <w:u w:val="none"/>
        </w:rPr>
        <w:t>（五）本宗《探矿权出让技术报告》、《探矿权评估报告》在公告和挂牌期间已移交南川区公共资源综合交易中心暂存，竞买人可自行查阅相关内容和信息。</w:t>
      </w:r>
    </w:p>
    <w:p>
      <w:pPr>
        <w:snapToGrid w:val="0"/>
        <w:spacing w:before="0" w:after="0" w:line="600" w:lineRule="exact"/>
        <w:jc w:val="right"/>
        <w:rPr>
          <w:rFonts w:ascii="Times New Roman" w:hAnsi="Times New Roman" w:eastAsia="方正仿宋_GBK" w:cs="Times New Roman"/>
        </w:rPr>
      </w:pPr>
    </w:p>
    <w:p>
      <w:pPr>
        <w:snapToGrid w:val="0"/>
        <w:spacing w:before="0" w:after="0" w:line="600" w:lineRule="exact"/>
        <w:jc w:val="right"/>
        <w:rPr>
          <w:rFonts w:ascii="Times New Roman" w:hAnsi="Times New Roman" w:eastAsia="方正仿宋_GBK" w:cs="Times New Roman"/>
        </w:rPr>
      </w:pPr>
      <w:ins w:id="4" w:author="赵国华" w:date="2023-09-08T09:18:27Z">
        <w:r>
          <w:rPr>
            <w:rFonts w:hint="eastAsia" w:ascii="Times New Roman" w:hAnsi="Times New Roman" w:cs="Times New Roman"/>
            <w:sz w:val="24"/>
            <w:szCs w:val="24"/>
          </w:rPr>
          <w:t>重庆市南川区规划和自然资源局</w:t>
        </w:r>
      </w:ins>
      <w:del w:id="5" w:author="赵国华" w:date="2023-09-08T09:18:27Z">
        <w:r>
          <w:rPr>
            <w:rFonts w:hint="eastAsia" w:ascii="Times New Roman" w:hAnsi="Times New Roman" w:cs="Times New Roman"/>
            <w:sz w:val="24"/>
            <w:szCs w:val="24"/>
          </w:rPr>
          <w:delText>重庆市南川区</w:delText>
        </w:r>
      </w:del>
    </w:p>
    <w:p>
      <w:pPr>
        <w:snapToGrid w:val="0"/>
        <w:spacing w:before="0" w:after="0" w:line="600" w:lineRule="exact"/>
        <w:jc w:val="right"/>
        <w:rPr>
          <w:rFonts w:ascii="Times New Roman" w:hAnsi="Times New Roman" w:eastAsia="方正仿宋_GBK" w:cs="Times New Roman"/>
        </w:rPr>
      </w:pPr>
      <w:r>
        <w:rPr>
          <w:rFonts w:hint="eastAsia" w:ascii="Times New Roman" w:hAnsi="Times New Roman" w:cs="Times New Roman"/>
          <w:sz w:val="24"/>
          <w:szCs w:val="24"/>
        </w:rPr>
        <w:t>2023年0</w:t>
      </w:r>
      <w:bookmarkStart w:id="0" w:name="_GoBack"/>
      <w:bookmarkEnd w:id="0"/>
      <w:r>
        <w:rPr>
          <w:rFonts w:hint="eastAsia" w:ascii="Times New Roman" w:hAnsi="Times New Roman" w:cs="Times New Roman"/>
          <w:sz w:val="24"/>
          <w:szCs w:val="24"/>
        </w:rPr>
        <w:t>9月08日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方正仿宋_GBK">
    <w:panose1 w:val="03000509000000000000"/>
    <w:charset w:val="86"/>
    <w:family w:val="script"/>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Arial Rounded MT Bold">
    <w:panose1 w:val="020F07040305040302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4NmFmMGE2NWJhMjRlZjZjOWIzMzhiM2E1OGJiOTcifQ=="/>
  </w:docVars>
  <w:rsids>
    <w:rsidRoot w:val="007935E6"/>
    <w:rsid w:val="000007F6"/>
    <w:rsid w:val="00006FBA"/>
    <w:rsid w:val="00007884"/>
    <w:rsid w:val="00007AED"/>
    <w:rsid w:val="00007B58"/>
    <w:rsid w:val="000111C4"/>
    <w:rsid w:val="0001167B"/>
    <w:rsid w:val="00016451"/>
    <w:rsid w:val="0002099C"/>
    <w:rsid w:val="000337AF"/>
    <w:rsid w:val="0003690A"/>
    <w:rsid w:val="000369A1"/>
    <w:rsid w:val="00037565"/>
    <w:rsid w:val="0003759F"/>
    <w:rsid w:val="000445AD"/>
    <w:rsid w:val="00047636"/>
    <w:rsid w:val="0004781C"/>
    <w:rsid w:val="00050E4A"/>
    <w:rsid w:val="00054463"/>
    <w:rsid w:val="00054770"/>
    <w:rsid w:val="0007278F"/>
    <w:rsid w:val="00072C08"/>
    <w:rsid w:val="000762CB"/>
    <w:rsid w:val="00080264"/>
    <w:rsid w:val="0008363E"/>
    <w:rsid w:val="00085BB5"/>
    <w:rsid w:val="000902DC"/>
    <w:rsid w:val="00090C4E"/>
    <w:rsid w:val="00092F78"/>
    <w:rsid w:val="000961A9"/>
    <w:rsid w:val="000A5136"/>
    <w:rsid w:val="000A6268"/>
    <w:rsid w:val="000B2203"/>
    <w:rsid w:val="000B6019"/>
    <w:rsid w:val="000C2269"/>
    <w:rsid w:val="000C2CEA"/>
    <w:rsid w:val="000C35EB"/>
    <w:rsid w:val="000C4CC1"/>
    <w:rsid w:val="000C6871"/>
    <w:rsid w:val="000E0293"/>
    <w:rsid w:val="000E249F"/>
    <w:rsid w:val="000E3C8C"/>
    <w:rsid w:val="000E57FD"/>
    <w:rsid w:val="000E60E9"/>
    <w:rsid w:val="000F0468"/>
    <w:rsid w:val="000F2654"/>
    <w:rsid w:val="000F348F"/>
    <w:rsid w:val="000F6D2A"/>
    <w:rsid w:val="000F7F50"/>
    <w:rsid w:val="0010095F"/>
    <w:rsid w:val="001046AA"/>
    <w:rsid w:val="001057FA"/>
    <w:rsid w:val="00105E82"/>
    <w:rsid w:val="00107E16"/>
    <w:rsid w:val="00111535"/>
    <w:rsid w:val="00112660"/>
    <w:rsid w:val="00120BFE"/>
    <w:rsid w:val="0012287B"/>
    <w:rsid w:val="00126705"/>
    <w:rsid w:val="001327CE"/>
    <w:rsid w:val="00135BAA"/>
    <w:rsid w:val="00135C8B"/>
    <w:rsid w:val="00137731"/>
    <w:rsid w:val="00145D44"/>
    <w:rsid w:val="001475BB"/>
    <w:rsid w:val="00153C5C"/>
    <w:rsid w:val="00154DE2"/>
    <w:rsid w:val="001555F4"/>
    <w:rsid w:val="001558D4"/>
    <w:rsid w:val="001561AA"/>
    <w:rsid w:val="00166D36"/>
    <w:rsid w:val="001730F6"/>
    <w:rsid w:val="00177097"/>
    <w:rsid w:val="00184EEC"/>
    <w:rsid w:val="00186963"/>
    <w:rsid w:val="00191296"/>
    <w:rsid w:val="0019445F"/>
    <w:rsid w:val="0019540A"/>
    <w:rsid w:val="0019742B"/>
    <w:rsid w:val="00197D21"/>
    <w:rsid w:val="001A0D95"/>
    <w:rsid w:val="001A3109"/>
    <w:rsid w:val="001A3DE9"/>
    <w:rsid w:val="001A5BCD"/>
    <w:rsid w:val="001A5DD7"/>
    <w:rsid w:val="001A6219"/>
    <w:rsid w:val="001C2D84"/>
    <w:rsid w:val="001C2DCA"/>
    <w:rsid w:val="001C55A5"/>
    <w:rsid w:val="001C68FA"/>
    <w:rsid w:val="001C71A1"/>
    <w:rsid w:val="001C7C6E"/>
    <w:rsid w:val="001D2F8C"/>
    <w:rsid w:val="001E789A"/>
    <w:rsid w:val="001E7A57"/>
    <w:rsid w:val="001E7BC7"/>
    <w:rsid w:val="001F4BD5"/>
    <w:rsid w:val="001F7E98"/>
    <w:rsid w:val="00200529"/>
    <w:rsid w:val="00202E28"/>
    <w:rsid w:val="00204448"/>
    <w:rsid w:val="00205310"/>
    <w:rsid w:val="002068C5"/>
    <w:rsid w:val="002154C8"/>
    <w:rsid w:val="002171C9"/>
    <w:rsid w:val="0022160B"/>
    <w:rsid w:val="00223B4F"/>
    <w:rsid w:val="00234415"/>
    <w:rsid w:val="002356C2"/>
    <w:rsid w:val="00237E2B"/>
    <w:rsid w:val="002419FC"/>
    <w:rsid w:val="00241D9A"/>
    <w:rsid w:val="00242A3C"/>
    <w:rsid w:val="002528E5"/>
    <w:rsid w:val="002557EB"/>
    <w:rsid w:val="00267EBF"/>
    <w:rsid w:val="00273E6C"/>
    <w:rsid w:val="002746B6"/>
    <w:rsid w:val="00276707"/>
    <w:rsid w:val="00281F95"/>
    <w:rsid w:val="00287FA1"/>
    <w:rsid w:val="00290C54"/>
    <w:rsid w:val="00294C40"/>
    <w:rsid w:val="00295AF1"/>
    <w:rsid w:val="002972D9"/>
    <w:rsid w:val="002A4343"/>
    <w:rsid w:val="002A6252"/>
    <w:rsid w:val="002A78B6"/>
    <w:rsid w:val="002B1302"/>
    <w:rsid w:val="002B1835"/>
    <w:rsid w:val="002B35CD"/>
    <w:rsid w:val="002B5006"/>
    <w:rsid w:val="002B5499"/>
    <w:rsid w:val="002B7001"/>
    <w:rsid w:val="002B7CA7"/>
    <w:rsid w:val="002C2542"/>
    <w:rsid w:val="002C323A"/>
    <w:rsid w:val="002C386C"/>
    <w:rsid w:val="002C4940"/>
    <w:rsid w:val="002C5779"/>
    <w:rsid w:val="002D0530"/>
    <w:rsid w:val="002D5913"/>
    <w:rsid w:val="002D64E6"/>
    <w:rsid w:val="002E28D4"/>
    <w:rsid w:val="002F3854"/>
    <w:rsid w:val="002F481E"/>
    <w:rsid w:val="002F6BD5"/>
    <w:rsid w:val="002F70D6"/>
    <w:rsid w:val="00307B31"/>
    <w:rsid w:val="00325A7C"/>
    <w:rsid w:val="00337713"/>
    <w:rsid w:val="00337FDF"/>
    <w:rsid w:val="003401FA"/>
    <w:rsid w:val="003416AA"/>
    <w:rsid w:val="00343D51"/>
    <w:rsid w:val="003461D0"/>
    <w:rsid w:val="00347E8E"/>
    <w:rsid w:val="00353ABC"/>
    <w:rsid w:val="00356C90"/>
    <w:rsid w:val="0036348A"/>
    <w:rsid w:val="0036670F"/>
    <w:rsid w:val="0036706E"/>
    <w:rsid w:val="00371629"/>
    <w:rsid w:val="00373187"/>
    <w:rsid w:val="00376562"/>
    <w:rsid w:val="00376CFF"/>
    <w:rsid w:val="003772D2"/>
    <w:rsid w:val="003777A5"/>
    <w:rsid w:val="003849FF"/>
    <w:rsid w:val="00387EA2"/>
    <w:rsid w:val="00391B03"/>
    <w:rsid w:val="00396D5C"/>
    <w:rsid w:val="00397D12"/>
    <w:rsid w:val="003A09CE"/>
    <w:rsid w:val="003A25E1"/>
    <w:rsid w:val="003A33BA"/>
    <w:rsid w:val="003A6F37"/>
    <w:rsid w:val="003B24E6"/>
    <w:rsid w:val="003B5677"/>
    <w:rsid w:val="003C05BB"/>
    <w:rsid w:val="003C2A4A"/>
    <w:rsid w:val="003D1986"/>
    <w:rsid w:val="003D3E09"/>
    <w:rsid w:val="003D724B"/>
    <w:rsid w:val="003E02F4"/>
    <w:rsid w:val="003E5534"/>
    <w:rsid w:val="003F006B"/>
    <w:rsid w:val="003F195D"/>
    <w:rsid w:val="003F30C2"/>
    <w:rsid w:val="00403513"/>
    <w:rsid w:val="0040410E"/>
    <w:rsid w:val="00404DA2"/>
    <w:rsid w:val="00405A53"/>
    <w:rsid w:val="00410184"/>
    <w:rsid w:val="00410EA6"/>
    <w:rsid w:val="00412C2A"/>
    <w:rsid w:val="00413DBC"/>
    <w:rsid w:val="00415DAE"/>
    <w:rsid w:val="0041769F"/>
    <w:rsid w:val="0042321E"/>
    <w:rsid w:val="00430F62"/>
    <w:rsid w:val="00431B9E"/>
    <w:rsid w:val="00432DF1"/>
    <w:rsid w:val="00440152"/>
    <w:rsid w:val="00441C2B"/>
    <w:rsid w:val="00441FA7"/>
    <w:rsid w:val="00452C32"/>
    <w:rsid w:val="0045560F"/>
    <w:rsid w:val="00456779"/>
    <w:rsid w:val="00457B5F"/>
    <w:rsid w:val="00464E95"/>
    <w:rsid w:val="00464F4A"/>
    <w:rsid w:val="0046665D"/>
    <w:rsid w:val="00474801"/>
    <w:rsid w:val="0047599E"/>
    <w:rsid w:val="00496E8C"/>
    <w:rsid w:val="004A0C3B"/>
    <w:rsid w:val="004A6BAB"/>
    <w:rsid w:val="004B22B6"/>
    <w:rsid w:val="004B2E9F"/>
    <w:rsid w:val="004C23CA"/>
    <w:rsid w:val="004C3852"/>
    <w:rsid w:val="004C5257"/>
    <w:rsid w:val="004C7738"/>
    <w:rsid w:val="004D09D1"/>
    <w:rsid w:val="004D3202"/>
    <w:rsid w:val="004D3FA2"/>
    <w:rsid w:val="004D4343"/>
    <w:rsid w:val="004D6E26"/>
    <w:rsid w:val="004D6FE6"/>
    <w:rsid w:val="004D7C81"/>
    <w:rsid w:val="004E3689"/>
    <w:rsid w:val="004F11E3"/>
    <w:rsid w:val="004F1289"/>
    <w:rsid w:val="004F12B6"/>
    <w:rsid w:val="004F1589"/>
    <w:rsid w:val="004F1E18"/>
    <w:rsid w:val="00504C9F"/>
    <w:rsid w:val="00505F32"/>
    <w:rsid w:val="005131C0"/>
    <w:rsid w:val="00514AF1"/>
    <w:rsid w:val="0051772E"/>
    <w:rsid w:val="005216A5"/>
    <w:rsid w:val="0053068E"/>
    <w:rsid w:val="00530AE0"/>
    <w:rsid w:val="00530C43"/>
    <w:rsid w:val="00540A2E"/>
    <w:rsid w:val="00543E1D"/>
    <w:rsid w:val="00551701"/>
    <w:rsid w:val="00555637"/>
    <w:rsid w:val="0055742F"/>
    <w:rsid w:val="00560483"/>
    <w:rsid w:val="00561700"/>
    <w:rsid w:val="00566F1D"/>
    <w:rsid w:val="00566F23"/>
    <w:rsid w:val="00567CD6"/>
    <w:rsid w:val="00576805"/>
    <w:rsid w:val="00577C43"/>
    <w:rsid w:val="00580B13"/>
    <w:rsid w:val="00581E6E"/>
    <w:rsid w:val="005859DB"/>
    <w:rsid w:val="00587A76"/>
    <w:rsid w:val="0059050D"/>
    <w:rsid w:val="00593D2A"/>
    <w:rsid w:val="00596A6E"/>
    <w:rsid w:val="0059745D"/>
    <w:rsid w:val="005A0854"/>
    <w:rsid w:val="005A6C89"/>
    <w:rsid w:val="005A7021"/>
    <w:rsid w:val="005B5CD0"/>
    <w:rsid w:val="005C0C24"/>
    <w:rsid w:val="005C1B38"/>
    <w:rsid w:val="005C3009"/>
    <w:rsid w:val="005C53F1"/>
    <w:rsid w:val="005D0F10"/>
    <w:rsid w:val="005D5161"/>
    <w:rsid w:val="005E0335"/>
    <w:rsid w:val="005E278B"/>
    <w:rsid w:val="005E693D"/>
    <w:rsid w:val="005E75F0"/>
    <w:rsid w:val="005F20EE"/>
    <w:rsid w:val="005F3336"/>
    <w:rsid w:val="005F3F04"/>
    <w:rsid w:val="006027D5"/>
    <w:rsid w:val="00606675"/>
    <w:rsid w:val="00607A60"/>
    <w:rsid w:val="0061303E"/>
    <w:rsid w:val="00613578"/>
    <w:rsid w:val="00616D6C"/>
    <w:rsid w:val="006232F1"/>
    <w:rsid w:val="006237B9"/>
    <w:rsid w:val="00632104"/>
    <w:rsid w:val="006330EE"/>
    <w:rsid w:val="00634431"/>
    <w:rsid w:val="0063493B"/>
    <w:rsid w:val="00636399"/>
    <w:rsid w:val="00640CCA"/>
    <w:rsid w:val="0064270A"/>
    <w:rsid w:val="0064365F"/>
    <w:rsid w:val="00644774"/>
    <w:rsid w:val="006452DE"/>
    <w:rsid w:val="006542E2"/>
    <w:rsid w:val="006673A9"/>
    <w:rsid w:val="00667C19"/>
    <w:rsid w:val="0067494C"/>
    <w:rsid w:val="00676C79"/>
    <w:rsid w:val="00680A31"/>
    <w:rsid w:val="006871A7"/>
    <w:rsid w:val="00687651"/>
    <w:rsid w:val="00690887"/>
    <w:rsid w:val="006908AB"/>
    <w:rsid w:val="006919A7"/>
    <w:rsid w:val="00695D68"/>
    <w:rsid w:val="00697004"/>
    <w:rsid w:val="00697DFC"/>
    <w:rsid w:val="006A0D7B"/>
    <w:rsid w:val="006A5F40"/>
    <w:rsid w:val="006B0C38"/>
    <w:rsid w:val="006B1F4E"/>
    <w:rsid w:val="006B648C"/>
    <w:rsid w:val="006C017C"/>
    <w:rsid w:val="006C6898"/>
    <w:rsid w:val="006C6FEC"/>
    <w:rsid w:val="006D5A61"/>
    <w:rsid w:val="006D6094"/>
    <w:rsid w:val="006E2714"/>
    <w:rsid w:val="006E4121"/>
    <w:rsid w:val="006E6BE9"/>
    <w:rsid w:val="006F33D8"/>
    <w:rsid w:val="006F3CEF"/>
    <w:rsid w:val="006F4E27"/>
    <w:rsid w:val="006F5F9C"/>
    <w:rsid w:val="006F642D"/>
    <w:rsid w:val="006F71B8"/>
    <w:rsid w:val="00700429"/>
    <w:rsid w:val="00702E16"/>
    <w:rsid w:val="007061FA"/>
    <w:rsid w:val="00707B53"/>
    <w:rsid w:val="0071315A"/>
    <w:rsid w:val="0072504D"/>
    <w:rsid w:val="0072757C"/>
    <w:rsid w:val="00730980"/>
    <w:rsid w:val="00732368"/>
    <w:rsid w:val="0073308A"/>
    <w:rsid w:val="00733AEA"/>
    <w:rsid w:val="007347A6"/>
    <w:rsid w:val="00735E50"/>
    <w:rsid w:val="007479E2"/>
    <w:rsid w:val="00751869"/>
    <w:rsid w:val="00753C6B"/>
    <w:rsid w:val="0075641C"/>
    <w:rsid w:val="00761DB8"/>
    <w:rsid w:val="0076280D"/>
    <w:rsid w:val="0076438A"/>
    <w:rsid w:val="00773F09"/>
    <w:rsid w:val="00775F54"/>
    <w:rsid w:val="00782076"/>
    <w:rsid w:val="0078314E"/>
    <w:rsid w:val="0078664B"/>
    <w:rsid w:val="007935E6"/>
    <w:rsid w:val="00794650"/>
    <w:rsid w:val="007971F1"/>
    <w:rsid w:val="007A4162"/>
    <w:rsid w:val="007A4636"/>
    <w:rsid w:val="007B0C8D"/>
    <w:rsid w:val="007B340F"/>
    <w:rsid w:val="007B5143"/>
    <w:rsid w:val="007B5CAC"/>
    <w:rsid w:val="007B629A"/>
    <w:rsid w:val="007B63D8"/>
    <w:rsid w:val="007B71AB"/>
    <w:rsid w:val="007C0D30"/>
    <w:rsid w:val="007C1C01"/>
    <w:rsid w:val="007C3B17"/>
    <w:rsid w:val="007D386E"/>
    <w:rsid w:val="007D4516"/>
    <w:rsid w:val="007D4E3F"/>
    <w:rsid w:val="007D58CF"/>
    <w:rsid w:val="007D6685"/>
    <w:rsid w:val="007D7821"/>
    <w:rsid w:val="007E02AA"/>
    <w:rsid w:val="007E2738"/>
    <w:rsid w:val="007E4B7A"/>
    <w:rsid w:val="007E6CFC"/>
    <w:rsid w:val="007F5E7C"/>
    <w:rsid w:val="007F61BB"/>
    <w:rsid w:val="007F7038"/>
    <w:rsid w:val="00800736"/>
    <w:rsid w:val="00802F4F"/>
    <w:rsid w:val="0080478B"/>
    <w:rsid w:val="008049D1"/>
    <w:rsid w:val="00806473"/>
    <w:rsid w:val="00812AB9"/>
    <w:rsid w:val="00812C71"/>
    <w:rsid w:val="00814CC2"/>
    <w:rsid w:val="00817CEB"/>
    <w:rsid w:val="008213E8"/>
    <w:rsid w:val="008219BB"/>
    <w:rsid w:val="008247EE"/>
    <w:rsid w:val="00824D14"/>
    <w:rsid w:val="0083108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E2A"/>
    <w:rsid w:val="008A4BC7"/>
    <w:rsid w:val="008B4527"/>
    <w:rsid w:val="008B4B4C"/>
    <w:rsid w:val="008B7FCD"/>
    <w:rsid w:val="008C1251"/>
    <w:rsid w:val="008C21F2"/>
    <w:rsid w:val="008C3C28"/>
    <w:rsid w:val="008D196B"/>
    <w:rsid w:val="008D4991"/>
    <w:rsid w:val="008D5471"/>
    <w:rsid w:val="008D5A78"/>
    <w:rsid w:val="008D5DA0"/>
    <w:rsid w:val="008D620B"/>
    <w:rsid w:val="008D78A4"/>
    <w:rsid w:val="008E26E2"/>
    <w:rsid w:val="008E3465"/>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200A5"/>
    <w:rsid w:val="0092564B"/>
    <w:rsid w:val="00926ED0"/>
    <w:rsid w:val="00935EE5"/>
    <w:rsid w:val="00936731"/>
    <w:rsid w:val="00944E41"/>
    <w:rsid w:val="009467FB"/>
    <w:rsid w:val="00950084"/>
    <w:rsid w:val="00953AEF"/>
    <w:rsid w:val="00954749"/>
    <w:rsid w:val="00956055"/>
    <w:rsid w:val="00956538"/>
    <w:rsid w:val="00960BF6"/>
    <w:rsid w:val="00962398"/>
    <w:rsid w:val="00965B2C"/>
    <w:rsid w:val="00966BBE"/>
    <w:rsid w:val="00971985"/>
    <w:rsid w:val="00976018"/>
    <w:rsid w:val="00976A18"/>
    <w:rsid w:val="00982774"/>
    <w:rsid w:val="009836EC"/>
    <w:rsid w:val="00984B57"/>
    <w:rsid w:val="00986349"/>
    <w:rsid w:val="009868DA"/>
    <w:rsid w:val="009871C5"/>
    <w:rsid w:val="009906E5"/>
    <w:rsid w:val="009908A7"/>
    <w:rsid w:val="00992A9D"/>
    <w:rsid w:val="0099460B"/>
    <w:rsid w:val="0099465D"/>
    <w:rsid w:val="00996976"/>
    <w:rsid w:val="009A47E6"/>
    <w:rsid w:val="009A7611"/>
    <w:rsid w:val="009B1057"/>
    <w:rsid w:val="009C14B9"/>
    <w:rsid w:val="009C206C"/>
    <w:rsid w:val="009C2362"/>
    <w:rsid w:val="009C7665"/>
    <w:rsid w:val="009D4203"/>
    <w:rsid w:val="009D4954"/>
    <w:rsid w:val="009E0AE9"/>
    <w:rsid w:val="009E12A0"/>
    <w:rsid w:val="009E3A22"/>
    <w:rsid w:val="009E7BC9"/>
    <w:rsid w:val="009E7BEC"/>
    <w:rsid w:val="009F1B88"/>
    <w:rsid w:val="009F3815"/>
    <w:rsid w:val="009F5409"/>
    <w:rsid w:val="00A010B1"/>
    <w:rsid w:val="00A02CE8"/>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199F"/>
    <w:rsid w:val="00A42968"/>
    <w:rsid w:val="00A42D5D"/>
    <w:rsid w:val="00A44637"/>
    <w:rsid w:val="00A452E4"/>
    <w:rsid w:val="00A45C13"/>
    <w:rsid w:val="00A46CFA"/>
    <w:rsid w:val="00A5004D"/>
    <w:rsid w:val="00A52626"/>
    <w:rsid w:val="00A531A6"/>
    <w:rsid w:val="00A54504"/>
    <w:rsid w:val="00A5544D"/>
    <w:rsid w:val="00A55E9E"/>
    <w:rsid w:val="00A56C60"/>
    <w:rsid w:val="00A601E1"/>
    <w:rsid w:val="00A6087D"/>
    <w:rsid w:val="00A61635"/>
    <w:rsid w:val="00A620A3"/>
    <w:rsid w:val="00A668C5"/>
    <w:rsid w:val="00A67498"/>
    <w:rsid w:val="00A675DD"/>
    <w:rsid w:val="00A72BC5"/>
    <w:rsid w:val="00A75D39"/>
    <w:rsid w:val="00A75F3F"/>
    <w:rsid w:val="00A83D3A"/>
    <w:rsid w:val="00A841F8"/>
    <w:rsid w:val="00A86CBD"/>
    <w:rsid w:val="00AA2195"/>
    <w:rsid w:val="00AA595F"/>
    <w:rsid w:val="00AA5CE7"/>
    <w:rsid w:val="00AA76B1"/>
    <w:rsid w:val="00AB5103"/>
    <w:rsid w:val="00AB5426"/>
    <w:rsid w:val="00AB6E4B"/>
    <w:rsid w:val="00AC1C67"/>
    <w:rsid w:val="00AC4015"/>
    <w:rsid w:val="00AD2A4C"/>
    <w:rsid w:val="00AD3C49"/>
    <w:rsid w:val="00AD6C6D"/>
    <w:rsid w:val="00AD76E1"/>
    <w:rsid w:val="00AE045D"/>
    <w:rsid w:val="00AE205B"/>
    <w:rsid w:val="00AE3D6C"/>
    <w:rsid w:val="00AF3B23"/>
    <w:rsid w:val="00AF5856"/>
    <w:rsid w:val="00AF6DAE"/>
    <w:rsid w:val="00B003A3"/>
    <w:rsid w:val="00B01CB8"/>
    <w:rsid w:val="00B07661"/>
    <w:rsid w:val="00B10ED0"/>
    <w:rsid w:val="00B11811"/>
    <w:rsid w:val="00B118CE"/>
    <w:rsid w:val="00B2105E"/>
    <w:rsid w:val="00B215FA"/>
    <w:rsid w:val="00B2273A"/>
    <w:rsid w:val="00B25BA6"/>
    <w:rsid w:val="00B401E2"/>
    <w:rsid w:val="00B4045F"/>
    <w:rsid w:val="00B43D32"/>
    <w:rsid w:val="00B449CF"/>
    <w:rsid w:val="00B5624F"/>
    <w:rsid w:val="00B624C6"/>
    <w:rsid w:val="00B6520A"/>
    <w:rsid w:val="00B669EF"/>
    <w:rsid w:val="00B71B7B"/>
    <w:rsid w:val="00B72F38"/>
    <w:rsid w:val="00B76838"/>
    <w:rsid w:val="00B768A8"/>
    <w:rsid w:val="00B83666"/>
    <w:rsid w:val="00B846DC"/>
    <w:rsid w:val="00B85BC8"/>
    <w:rsid w:val="00B87C87"/>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9E0"/>
    <w:rsid w:val="00BF0E10"/>
    <w:rsid w:val="00BF33F0"/>
    <w:rsid w:val="00BF5244"/>
    <w:rsid w:val="00BF74E8"/>
    <w:rsid w:val="00BF7FFC"/>
    <w:rsid w:val="00C026B4"/>
    <w:rsid w:val="00C03123"/>
    <w:rsid w:val="00C0348E"/>
    <w:rsid w:val="00C035F8"/>
    <w:rsid w:val="00C05342"/>
    <w:rsid w:val="00C07E37"/>
    <w:rsid w:val="00C2075C"/>
    <w:rsid w:val="00C2309B"/>
    <w:rsid w:val="00C232F5"/>
    <w:rsid w:val="00C24AC0"/>
    <w:rsid w:val="00C24B9B"/>
    <w:rsid w:val="00C333B0"/>
    <w:rsid w:val="00C34900"/>
    <w:rsid w:val="00C471D6"/>
    <w:rsid w:val="00C51D8E"/>
    <w:rsid w:val="00C709F7"/>
    <w:rsid w:val="00C72278"/>
    <w:rsid w:val="00C8149E"/>
    <w:rsid w:val="00C81552"/>
    <w:rsid w:val="00C93349"/>
    <w:rsid w:val="00C93571"/>
    <w:rsid w:val="00C93FAB"/>
    <w:rsid w:val="00C953C9"/>
    <w:rsid w:val="00CA27F1"/>
    <w:rsid w:val="00CA2A17"/>
    <w:rsid w:val="00CB175F"/>
    <w:rsid w:val="00CB1BDD"/>
    <w:rsid w:val="00CB6429"/>
    <w:rsid w:val="00CB6596"/>
    <w:rsid w:val="00CB6BAB"/>
    <w:rsid w:val="00CB7966"/>
    <w:rsid w:val="00CC674F"/>
    <w:rsid w:val="00CD0CF5"/>
    <w:rsid w:val="00CD2CDE"/>
    <w:rsid w:val="00CD5174"/>
    <w:rsid w:val="00CE06B2"/>
    <w:rsid w:val="00CE73F1"/>
    <w:rsid w:val="00CF4783"/>
    <w:rsid w:val="00D018AD"/>
    <w:rsid w:val="00D02738"/>
    <w:rsid w:val="00D05066"/>
    <w:rsid w:val="00D106D8"/>
    <w:rsid w:val="00D11899"/>
    <w:rsid w:val="00D1755C"/>
    <w:rsid w:val="00D22873"/>
    <w:rsid w:val="00D30D61"/>
    <w:rsid w:val="00D345E2"/>
    <w:rsid w:val="00D37A44"/>
    <w:rsid w:val="00D407C2"/>
    <w:rsid w:val="00D40D16"/>
    <w:rsid w:val="00D41F21"/>
    <w:rsid w:val="00D4307E"/>
    <w:rsid w:val="00D43705"/>
    <w:rsid w:val="00D4388C"/>
    <w:rsid w:val="00D50209"/>
    <w:rsid w:val="00D545C3"/>
    <w:rsid w:val="00D56D4F"/>
    <w:rsid w:val="00D606EE"/>
    <w:rsid w:val="00D60BB2"/>
    <w:rsid w:val="00D61D09"/>
    <w:rsid w:val="00D705C0"/>
    <w:rsid w:val="00D73298"/>
    <w:rsid w:val="00D748AF"/>
    <w:rsid w:val="00D75BDB"/>
    <w:rsid w:val="00D77B62"/>
    <w:rsid w:val="00D81835"/>
    <w:rsid w:val="00D872CF"/>
    <w:rsid w:val="00D94666"/>
    <w:rsid w:val="00DB05C2"/>
    <w:rsid w:val="00DB1033"/>
    <w:rsid w:val="00DB2537"/>
    <w:rsid w:val="00DB70B9"/>
    <w:rsid w:val="00DC0CB3"/>
    <w:rsid w:val="00DC1454"/>
    <w:rsid w:val="00DC1DA8"/>
    <w:rsid w:val="00DC3746"/>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4E40"/>
    <w:rsid w:val="00E0518B"/>
    <w:rsid w:val="00E14560"/>
    <w:rsid w:val="00E25F14"/>
    <w:rsid w:val="00E30FFA"/>
    <w:rsid w:val="00E31141"/>
    <w:rsid w:val="00E32FA5"/>
    <w:rsid w:val="00E33A0D"/>
    <w:rsid w:val="00E34937"/>
    <w:rsid w:val="00E356D9"/>
    <w:rsid w:val="00E412F9"/>
    <w:rsid w:val="00E443F2"/>
    <w:rsid w:val="00E46850"/>
    <w:rsid w:val="00E51655"/>
    <w:rsid w:val="00E603E8"/>
    <w:rsid w:val="00E61D33"/>
    <w:rsid w:val="00E84081"/>
    <w:rsid w:val="00E960CF"/>
    <w:rsid w:val="00E979C4"/>
    <w:rsid w:val="00EA0995"/>
    <w:rsid w:val="00EA3FFB"/>
    <w:rsid w:val="00EB0E05"/>
    <w:rsid w:val="00EB2140"/>
    <w:rsid w:val="00EB34B2"/>
    <w:rsid w:val="00EB5C55"/>
    <w:rsid w:val="00ED749B"/>
    <w:rsid w:val="00EE14D6"/>
    <w:rsid w:val="00EE28D5"/>
    <w:rsid w:val="00EE4845"/>
    <w:rsid w:val="00EF3210"/>
    <w:rsid w:val="00EF370C"/>
    <w:rsid w:val="00EF3AD4"/>
    <w:rsid w:val="00EF48C2"/>
    <w:rsid w:val="00F044E0"/>
    <w:rsid w:val="00F073E8"/>
    <w:rsid w:val="00F07F09"/>
    <w:rsid w:val="00F130CE"/>
    <w:rsid w:val="00F13796"/>
    <w:rsid w:val="00F2179C"/>
    <w:rsid w:val="00F22300"/>
    <w:rsid w:val="00F22B1C"/>
    <w:rsid w:val="00F238ED"/>
    <w:rsid w:val="00F23C4C"/>
    <w:rsid w:val="00F323F5"/>
    <w:rsid w:val="00F34393"/>
    <w:rsid w:val="00F34CC5"/>
    <w:rsid w:val="00F34E1B"/>
    <w:rsid w:val="00F35C0A"/>
    <w:rsid w:val="00F36DCF"/>
    <w:rsid w:val="00F36F8B"/>
    <w:rsid w:val="00F421AD"/>
    <w:rsid w:val="00F42C2B"/>
    <w:rsid w:val="00F434D6"/>
    <w:rsid w:val="00F447CB"/>
    <w:rsid w:val="00F508A9"/>
    <w:rsid w:val="00F51924"/>
    <w:rsid w:val="00F53235"/>
    <w:rsid w:val="00F548A9"/>
    <w:rsid w:val="00F54E0E"/>
    <w:rsid w:val="00F57BE2"/>
    <w:rsid w:val="00F61029"/>
    <w:rsid w:val="00F625BB"/>
    <w:rsid w:val="00F64EC4"/>
    <w:rsid w:val="00F7262C"/>
    <w:rsid w:val="00F758AC"/>
    <w:rsid w:val="00F7655C"/>
    <w:rsid w:val="00F80103"/>
    <w:rsid w:val="00F91137"/>
    <w:rsid w:val="00F91752"/>
    <w:rsid w:val="00F91940"/>
    <w:rsid w:val="00FA3F2B"/>
    <w:rsid w:val="00FA4BF0"/>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270C"/>
    <w:rsid w:val="00FF2A5C"/>
    <w:rsid w:val="00FF31F3"/>
    <w:rsid w:val="00FF5819"/>
    <w:rsid w:val="03EC4A25"/>
    <w:rsid w:val="04BB4688"/>
    <w:rsid w:val="0A943317"/>
    <w:rsid w:val="0C236388"/>
    <w:rsid w:val="0E2C21E4"/>
    <w:rsid w:val="0F7D43CB"/>
    <w:rsid w:val="0F990E95"/>
    <w:rsid w:val="119B6B11"/>
    <w:rsid w:val="14E72473"/>
    <w:rsid w:val="16113EF1"/>
    <w:rsid w:val="17B50836"/>
    <w:rsid w:val="1A6E4E92"/>
    <w:rsid w:val="1B617700"/>
    <w:rsid w:val="1C06768E"/>
    <w:rsid w:val="227B6E3E"/>
    <w:rsid w:val="230706D2"/>
    <w:rsid w:val="286C5EC7"/>
    <w:rsid w:val="29C54E43"/>
    <w:rsid w:val="2FBE5608"/>
    <w:rsid w:val="30A3112B"/>
    <w:rsid w:val="332C723A"/>
    <w:rsid w:val="354E36A5"/>
    <w:rsid w:val="35AF5167"/>
    <w:rsid w:val="3647730B"/>
    <w:rsid w:val="38EF4984"/>
    <w:rsid w:val="3A161DA8"/>
    <w:rsid w:val="3B32181A"/>
    <w:rsid w:val="3C251999"/>
    <w:rsid w:val="41627D39"/>
    <w:rsid w:val="43041806"/>
    <w:rsid w:val="44B02552"/>
    <w:rsid w:val="451900C5"/>
    <w:rsid w:val="456C0661"/>
    <w:rsid w:val="464A386A"/>
    <w:rsid w:val="47AB04E9"/>
    <w:rsid w:val="48C47BE7"/>
    <w:rsid w:val="4CB34738"/>
    <w:rsid w:val="53057BB0"/>
    <w:rsid w:val="53F109E6"/>
    <w:rsid w:val="589E253F"/>
    <w:rsid w:val="5BCD17B1"/>
    <w:rsid w:val="5C463189"/>
    <w:rsid w:val="619C19E8"/>
    <w:rsid w:val="634344BD"/>
    <w:rsid w:val="643B565D"/>
    <w:rsid w:val="67901F35"/>
    <w:rsid w:val="6B1531C6"/>
    <w:rsid w:val="6C983716"/>
    <w:rsid w:val="6EAC1897"/>
    <w:rsid w:val="74522DBE"/>
    <w:rsid w:val="77A81247"/>
    <w:rsid w:val="78AB54A8"/>
    <w:rsid w:val="791339FC"/>
    <w:rsid w:val="79C42F5D"/>
    <w:rsid w:val="7E560C9E"/>
    <w:rsid w:val="7E8835EA"/>
    <w:rsid w:val="7FB06611"/>
    <w:rsid w:val="7FC65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4</Pages>
  <Words>2286</Words>
  <Characters>2476</Characters>
  <Lines>19</Lines>
  <Paragraphs>5</Paragraphs>
  <TotalTime>0</TotalTime>
  <ScaleCrop>false</ScaleCrop>
  <LinksUpToDate>false</LinksUpToDate>
  <CharactersWithSpaces>2486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2023-02-13T02:14:00Z</cp:lastPrinted>
  <dcterms:modified xsi:type="dcterms:W3CDTF">2023-09-08T01:18:29Z</dcterms:modified>
  <cp:revision>782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0B6232299B444D9F999DFEB060A6A528</vt:lpwstr>
  </property>
  <property fmtid="{D5CDD505-2E9C-101B-9397-08002B2CF9AE}" pid="3" name="KSOProductBuildVer">
    <vt:lpwstr>2052-11.8.2.10321</vt:lpwstr>
  </property>
</Properties>
</file>