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020"/>
        <w:jc w:val="center"/>
        <w:rPr>
          <w:rFonts w:eastAsia="宋体"/>
          <w:b/>
          <w:sz w:val="32"/>
          <w:szCs w:val="32"/>
        </w:rPr>
      </w:pPr>
      <w:r>
        <w:rPr>
          <w:rFonts w:hint="eastAsia" w:ascii="宋体" w:hAnsi="宋体" w:eastAsia="宋体"/>
          <w:b/>
          <w:sz w:val="32"/>
          <w:szCs w:val="32"/>
        </w:rPr>
        <w:t>合川区盐井街道盐旧路茶园村七社段条带状孤山背脊</w:t>
      </w:r>
      <w:r>
        <w:rPr>
          <w:rFonts w:hint="eastAsia" w:ascii="宋体" w:hAnsi="宋体" w:eastAsia="宋体"/>
          <w:b/>
          <w:sz w:val="32"/>
          <w:szCs w:val="32"/>
          <w:lang w:val="en-US" w:eastAsia="zh-CN"/>
        </w:rPr>
        <w:t>建筑石料用灰岩</w:t>
      </w:r>
      <w:r>
        <w:rPr>
          <w:rFonts w:hint="eastAsia" w:ascii="宋体" w:hAnsi="宋体" w:eastAsia="宋体"/>
          <w:b/>
          <w:sz w:val="32"/>
          <w:szCs w:val="32"/>
        </w:rPr>
        <w:t>矿段采矿权挂牌出让文件</w:t>
      </w:r>
    </w:p>
    <w:p>
      <w:pPr>
        <w:spacing w:line="440" w:lineRule="exact"/>
        <w:ind w:firstLine="6960"/>
        <w:rPr>
          <w:rFonts w:ascii="宋体" w:hAnsi="宋体" w:eastAsia="宋体"/>
          <w:sz w:val="24"/>
          <w:szCs w:val="24"/>
        </w:rPr>
      </w:pPr>
    </w:p>
    <w:p>
      <w:pPr>
        <w:spacing w:line="440" w:lineRule="exact"/>
        <w:ind w:firstLine="6960"/>
        <w:rPr>
          <w:rFonts w:ascii="宋体" w:hAnsi="宋体" w:eastAsia="宋体"/>
          <w:color w:val="auto"/>
          <w:sz w:val="24"/>
          <w:szCs w:val="24"/>
        </w:rPr>
      </w:pPr>
      <w:r>
        <w:rPr>
          <w:rFonts w:hint="eastAsia" w:ascii="宋体" w:hAnsi="宋体" w:eastAsia="宋体"/>
          <w:sz w:val="24"/>
          <w:szCs w:val="24"/>
        </w:rPr>
        <w:t>公</w:t>
      </w:r>
      <w:r>
        <w:rPr>
          <w:rFonts w:hint="eastAsia" w:ascii="宋体" w:hAnsi="宋体" w:eastAsia="宋体"/>
          <w:color w:val="auto"/>
          <w:sz w:val="24"/>
          <w:szCs w:val="24"/>
        </w:rPr>
        <w:t>告序号：HCGC202401</w:t>
      </w:r>
    </w:p>
    <w:p>
      <w:pPr>
        <w:spacing w:line="600" w:lineRule="exact"/>
        <w:ind w:firstLine="440"/>
        <w:rPr>
          <w:rFonts w:ascii="宋体" w:hAnsi="宋体" w:eastAsia="宋体"/>
          <w:sz w:val="24"/>
        </w:rPr>
      </w:pPr>
      <w:r>
        <w:rPr>
          <w:rFonts w:hint="eastAsia" w:ascii="宋体" w:hAnsi="宋体" w:eastAsia="宋体"/>
          <w:sz w:val="24"/>
          <w:szCs w:val="24"/>
        </w:rPr>
        <w:t>为合理开发利用矿产资源，维护矿产资源的国家所有权，建立规范、开放、竞争、有序的矿业权市场，根据《矿业权出让交易规则》（自然资规〔2023〕1号）等有关规定，重庆市合川区规划和自然资源局决定公开挂牌出让合川区盐井街道盐旧路茶园村七社段条带状孤山背脊</w:t>
      </w:r>
      <w:r>
        <w:rPr>
          <w:rFonts w:hint="eastAsia" w:ascii="宋体" w:hAnsi="宋体" w:eastAsia="宋体"/>
          <w:sz w:val="24"/>
          <w:szCs w:val="24"/>
          <w:lang w:val="en-US" w:eastAsia="zh-CN"/>
        </w:rPr>
        <w:t>建筑石料用灰岩</w:t>
      </w:r>
      <w:r>
        <w:rPr>
          <w:rFonts w:hint="eastAsia" w:ascii="宋体" w:hAnsi="宋体" w:eastAsia="宋体"/>
          <w:sz w:val="24"/>
          <w:szCs w:val="24"/>
        </w:rPr>
        <w:t>矿段采矿权，并委托重庆</w:t>
      </w:r>
      <w:r>
        <w:rPr>
          <w:rFonts w:hint="eastAsia" w:ascii="宋体" w:hAnsi="宋体" w:eastAsia="宋体"/>
          <w:sz w:val="24"/>
        </w:rPr>
        <w:t>市合川区公共资源交易中心负责公开出让交易环节的组织实施。</w:t>
      </w:r>
    </w:p>
    <w:p>
      <w:pPr>
        <w:spacing w:line="600" w:lineRule="exact"/>
        <w:ind w:firstLine="440"/>
        <w:jc w:val="left"/>
        <w:rPr>
          <w:b/>
          <w:sz w:val="24"/>
          <w:szCs w:val="24"/>
        </w:rPr>
      </w:pPr>
      <w:r>
        <w:rPr>
          <w:rFonts w:hint="eastAsia" w:ascii="宋体" w:hAnsi="宋体" w:eastAsia="宋体"/>
          <w:b/>
          <w:sz w:val="24"/>
          <w:szCs w:val="24"/>
        </w:rPr>
        <w:t>一、出让采矿权基本情况</w:t>
      </w:r>
    </w:p>
    <w:p>
      <w:pPr>
        <w:spacing w:line="600" w:lineRule="exact"/>
        <w:ind w:firstLine="460"/>
        <w:jc w:val="left"/>
        <w:rPr>
          <w:rFonts w:eastAsia="宋体"/>
          <w:sz w:val="24"/>
          <w:szCs w:val="24"/>
        </w:rPr>
      </w:pPr>
      <w:r>
        <w:rPr>
          <w:rFonts w:hint="eastAsia" w:ascii="宋体" w:hAnsi="宋体" w:eastAsia="宋体"/>
          <w:sz w:val="24"/>
          <w:szCs w:val="24"/>
        </w:rPr>
        <w:t>（一）公告时间：2024年2月6日09时-2024年3月12日18时；</w:t>
      </w:r>
    </w:p>
    <w:p>
      <w:pPr>
        <w:spacing w:line="600" w:lineRule="exact"/>
        <w:ind w:firstLine="480" w:firstLineChars="200"/>
        <w:jc w:val="left"/>
        <w:rPr>
          <w:rFonts w:eastAsia="宋体"/>
          <w:sz w:val="24"/>
          <w:szCs w:val="24"/>
        </w:rPr>
      </w:pPr>
      <w:r>
        <w:rPr>
          <w:rFonts w:hint="eastAsia" w:ascii="宋体" w:hAnsi="宋体" w:eastAsia="宋体"/>
          <w:sz w:val="24"/>
          <w:szCs w:val="24"/>
        </w:rPr>
        <w:t>（二）采矿权名称：合川区盐井街道盐旧路茶园村七社段条带状孤山背脊</w:t>
      </w:r>
      <w:r>
        <w:rPr>
          <w:rFonts w:hint="eastAsia" w:ascii="宋体" w:hAnsi="宋体" w:eastAsia="宋体"/>
          <w:sz w:val="24"/>
          <w:szCs w:val="24"/>
          <w:lang w:val="en-US" w:eastAsia="zh-CN"/>
        </w:rPr>
        <w:t>建筑石料用灰岩</w:t>
      </w:r>
      <w:r>
        <w:rPr>
          <w:rFonts w:hint="eastAsia" w:ascii="宋体" w:hAnsi="宋体" w:eastAsia="宋体"/>
          <w:sz w:val="24"/>
          <w:szCs w:val="24"/>
        </w:rPr>
        <w:t>矿段；</w:t>
      </w:r>
    </w:p>
    <w:p>
      <w:pPr>
        <w:spacing w:line="600" w:lineRule="exact"/>
        <w:ind w:firstLine="460"/>
        <w:jc w:val="left"/>
        <w:rPr>
          <w:rFonts w:eastAsia="宋体"/>
          <w:sz w:val="24"/>
          <w:szCs w:val="24"/>
        </w:rPr>
      </w:pPr>
      <w:r>
        <w:rPr>
          <w:rFonts w:hint="eastAsia" w:ascii="宋体" w:hAnsi="宋体" w:eastAsia="宋体"/>
          <w:sz w:val="24"/>
          <w:szCs w:val="24"/>
        </w:rPr>
        <w:t>（三）矿山地址：合川区盐井街道茶园村七社；</w:t>
      </w:r>
    </w:p>
    <w:p>
      <w:pPr>
        <w:spacing w:line="600" w:lineRule="exact"/>
        <w:ind w:firstLine="460"/>
        <w:jc w:val="left"/>
        <w:rPr>
          <w:rFonts w:ascii="宋体" w:hAnsi="宋体" w:eastAsia="宋体"/>
          <w:sz w:val="24"/>
          <w:szCs w:val="24"/>
        </w:rPr>
      </w:pPr>
      <w:r>
        <w:rPr>
          <w:rFonts w:hint="eastAsia" w:ascii="宋体" w:hAnsi="宋体" w:eastAsia="宋体"/>
          <w:sz w:val="24"/>
          <w:szCs w:val="24"/>
        </w:rPr>
        <w:t>（四）矿区面积：0.026平方公里；</w:t>
      </w:r>
    </w:p>
    <w:p>
      <w:pPr>
        <w:spacing w:line="600" w:lineRule="exact"/>
        <w:ind w:firstLine="460"/>
        <w:jc w:val="left"/>
        <w:rPr>
          <w:rFonts w:ascii="宋体" w:hAnsi="宋体" w:eastAsia="宋体"/>
          <w:sz w:val="24"/>
          <w:szCs w:val="24"/>
        </w:rPr>
      </w:pPr>
      <w:r>
        <w:rPr>
          <w:rFonts w:hint="eastAsia" w:ascii="宋体" w:hAnsi="宋体" w:eastAsia="宋体"/>
          <w:sz w:val="24"/>
          <w:szCs w:val="24"/>
        </w:rPr>
        <w:t>（五）开采标高：＋340米至＋280米；</w:t>
      </w:r>
    </w:p>
    <w:p>
      <w:pPr>
        <w:spacing w:line="600" w:lineRule="exact"/>
        <w:ind w:firstLine="460"/>
        <w:jc w:val="left"/>
        <w:rPr>
          <w:rFonts w:eastAsia="宋体"/>
          <w:sz w:val="24"/>
          <w:szCs w:val="24"/>
        </w:rPr>
      </w:pPr>
      <w:r>
        <w:rPr>
          <w:rFonts w:hint="eastAsia" w:ascii="宋体" w:hAnsi="宋体" w:eastAsia="宋体"/>
          <w:sz w:val="24"/>
          <w:szCs w:val="24"/>
        </w:rPr>
        <w:t>（六）开采矿种：建筑石料用灰岩；</w:t>
      </w:r>
    </w:p>
    <w:p>
      <w:pPr>
        <w:spacing w:line="600" w:lineRule="exact"/>
        <w:ind w:firstLine="460"/>
        <w:jc w:val="left"/>
        <w:rPr>
          <w:rFonts w:ascii="宋体" w:hAnsi="宋体" w:eastAsia="宋体"/>
          <w:sz w:val="24"/>
          <w:szCs w:val="24"/>
        </w:rPr>
      </w:pPr>
      <w:r>
        <w:rPr>
          <w:rFonts w:hint="eastAsia" w:ascii="宋体" w:hAnsi="宋体" w:eastAsia="宋体"/>
          <w:sz w:val="24"/>
          <w:szCs w:val="24"/>
        </w:rPr>
        <w:t>（七）资源储量：110.9万吨；</w:t>
      </w:r>
    </w:p>
    <w:p>
      <w:pPr>
        <w:spacing w:line="600" w:lineRule="exact"/>
        <w:ind w:firstLine="460"/>
        <w:jc w:val="left"/>
        <w:rPr>
          <w:rFonts w:eastAsia="宋体"/>
          <w:sz w:val="24"/>
          <w:szCs w:val="24"/>
        </w:rPr>
      </w:pPr>
      <w:r>
        <w:rPr>
          <w:rFonts w:hint="eastAsia" w:ascii="宋体" w:hAnsi="宋体" w:eastAsia="宋体"/>
          <w:sz w:val="24"/>
          <w:szCs w:val="24"/>
        </w:rPr>
        <w:t>（八）生产规模：100万吨／年；</w:t>
      </w:r>
    </w:p>
    <w:p>
      <w:pPr>
        <w:spacing w:line="600" w:lineRule="exact"/>
        <w:ind w:firstLine="460"/>
        <w:jc w:val="left"/>
        <w:rPr>
          <w:rFonts w:ascii="宋体" w:hAnsi="宋体" w:eastAsia="宋体"/>
          <w:color w:val="FF0000"/>
          <w:sz w:val="24"/>
          <w:szCs w:val="24"/>
        </w:rPr>
      </w:pPr>
      <w:r>
        <w:rPr>
          <w:rFonts w:hint="eastAsia" w:ascii="宋体" w:hAnsi="宋体" w:eastAsia="宋体"/>
          <w:sz w:val="24"/>
          <w:szCs w:val="24"/>
        </w:rPr>
        <w:t>（九）采矿权出让年限：1.1年；</w:t>
      </w:r>
    </w:p>
    <w:p>
      <w:pPr>
        <w:spacing w:line="600" w:lineRule="exact"/>
        <w:ind w:firstLine="460"/>
        <w:jc w:val="left"/>
        <w:rPr>
          <w:rFonts w:ascii="宋体" w:hAnsi="宋体" w:eastAsia="宋体"/>
          <w:sz w:val="24"/>
          <w:szCs w:val="24"/>
        </w:rPr>
      </w:pPr>
      <w:r>
        <w:rPr>
          <w:rFonts w:hint="eastAsia" w:ascii="宋体" w:hAnsi="宋体" w:eastAsia="宋体"/>
          <w:sz w:val="24"/>
          <w:szCs w:val="24"/>
        </w:rPr>
        <w:t>（十）出让收益起始价：393</w:t>
      </w:r>
      <w:r>
        <w:rPr>
          <w:rFonts w:ascii="宋体" w:hAnsi="宋体" w:eastAsia="宋体"/>
          <w:sz w:val="24"/>
          <w:szCs w:val="24"/>
        </w:rPr>
        <w:t>.9</w:t>
      </w:r>
      <w:r>
        <w:rPr>
          <w:rFonts w:hint="eastAsia" w:ascii="宋体" w:hAnsi="宋体" w:eastAsia="宋体"/>
          <w:sz w:val="24"/>
          <w:szCs w:val="24"/>
        </w:rPr>
        <w:t>2万元；</w:t>
      </w:r>
    </w:p>
    <w:p>
      <w:pPr>
        <w:spacing w:line="600" w:lineRule="exact"/>
        <w:ind w:firstLine="460"/>
        <w:jc w:val="left"/>
        <w:rPr>
          <w:sz w:val="24"/>
          <w:szCs w:val="24"/>
        </w:rPr>
      </w:pPr>
      <w:r>
        <w:rPr>
          <w:rFonts w:hint="eastAsia" w:ascii="宋体" w:hAnsi="宋体" w:eastAsia="宋体"/>
          <w:sz w:val="24"/>
          <w:szCs w:val="24"/>
        </w:rPr>
        <w:t>（十一）矿区范围坐标（2000坐标系）：</w:t>
      </w:r>
    </w:p>
    <w:tbl>
      <w:tblPr>
        <w:tblStyle w:val="10"/>
        <w:tblW w:w="7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486"/>
        <w:gridCol w:w="2767"/>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trPr>
        <w:tc>
          <w:tcPr>
            <w:tcW w:w="2486" w:type="dxa"/>
            <w:vAlign w:val="center"/>
          </w:tcPr>
          <w:p>
            <w:pPr>
              <w:spacing w:line="560" w:lineRule="exact"/>
              <w:jc w:val="center"/>
              <w:rPr>
                <w:sz w:val="24"/>
                <w:szCs w:val="24"/>
              </w:rPr>
            </w:pPr>
            <w:r>
              <w:rPr>
                <w:rFonts w:hint="eastAsia" w:ascii="宋体" w:hAnsi="宋体" w:eastAsia="宋体"/>
                <w:sz w:val="24"/>
                <w:szCs w:val="24"/>
              </w:rPr>
              <w:t>拐点</w:t>
            </w:r>
          </w:p>
        </w:tc>
        <w:tc>
          <w:tcPr>
            <w:tcW w:w="2767" w:type="dxa"/>
            <w:vAlign w:val="center"/>
          </w:tcPr>
          <w:p>
            <w:pPr>
              <w:spacing w:line="560" w:lineRule="exact"/>
              <w:jc w:val="center"/>
              <w:rPr>
                <w:sz w:val="24"/>
                <w:szCs w:val="24"/>
              </w:rPr>
            </w:pPr>
            <w:r>
              <w:rPr>
                <w:rFonts w:hint="eastAsia" w:ascii="宋体" w:hAnsi="宋体" w:eastAsia="宋体"/>
                <w:sz w:val="24"/>
                <w:szCs w:val="24"/>
              </w:rPr>
              <w:t>X坐标</w:t>
            </w:r>
          </w:p>
        </w:tc>
        <w:tc>
          <w:tcPr>
            <w:tcW w:w="2647" w:type="dxa"/>
            <w:vAlign w:val="center"/>
          </w:tcPr>
          <w:p>
            <w:pPr>
              <w:spacing w:line="560" w:lineRule="exact"/>
              <w:jc w:val="center"/>
              <w:rPr>
                <w:sz w:val="24"/>
                <w:szCs w:val="24"/>
              </w:rPr>
            </w:pPr>
            <w:r>
              <w:rPr>
                <w:rFonts w:hint="eastAsia" w:ascii="宋体" w:hAnsi="宋体" w:eastAsia="宋体"/>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3" w:hRule="atLeast"/>
        </w:trPr>
        <w:tc>
          <w:tcPr>
            <w:tcW w:w="2486" w:type="dxa"/>
            <w:vAlign w:val="center"/>
          </w:tcPr>
          <w:p>
            <w:pPr>
              <w:snapToGrid w:val="0"/>
              <w:jc w:val="center"/>
              <w:rPr>
                <w:rFonts w:hAnsi="宋体"/>
                <w:bCs/>
                <w:snapToGrid w:val="0"/>
                <w:sz w:val="28"/>
                <w:szCs w:val="28"/>
              </w:rPr>
            </w:pPr>
            <w:r>
              <w:rPr>
                <w:rFonts w:hint="eastAsia" w:eastAsia="等线"/>
                <w:sz w:val="24"/>
              </w:rPr>
              <w:t>1</w:t>
            </w:r>
          </w:p>
        </w:tc>
        <w:tc>
          <w:tcPr>
            <w:tcW w:w="2767" w:type="dxa"/>
            <w:vAlign w:val="center"/>
          </w:tcPr>
          <w:p>
            <w:pPr>
              <w:snapToGrid w:val="0"/>
              <w:jc w:val="center"/>
              <w:rPr>
                <w:rFonts w:hAnsi="宋体"/>
                <w:bCs/>
                <w:snapToGrid w:val="0"/>
                <w:sz w:val="28"/>
                <w:szCs w:val="28"/>
              </w:rPr>
            </w:pPr>
            <w:r>
              <w:rPr>
                <w:sz w:val="24"/>
              </w:rPr>
              <w:t>3310519.90</w:t>
            </w:r>
          </w:p>
        </w:tc>
        <w:tc>
          <w:tcPr>
            <w:tcW w:w="2647" w:type="dxa"/>
            <w:vAlign w:val="center"/>
          </w:tcPr>
          <w:p>
            <w:pPr>
              <w:snapToGrid w:val="0"/>
              <w:jc w:val="center"/>
              <w:rPr>
                <w:rFonts w:hAnsi="宋体"/>
                <w:bCs/>
                <w:snapToGrid w:val="0"/>
                <w:sz w:val="28"/>
                <w:szCs w:val="28"/>
              </w:rPr>
            </w:pPr>
            <w:r>
              <w:rPr>
                <w:sz w:val="24"/>
              </w:rPr>
              <w:t>35625360.08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hAnsi="宋体"/>
                <w:bCs/>
                <w:snapToGrid w:val="0"/>
                <w:color w:val="FF0000"/>
                <w:sz w:val="28"/>
                <w:szCs w:val="28"/>
              </w:rPr>
            </w:pPr>
            <w:r>
              <w:rPr>
                <w:rFonts w:hint="eastAsia" w:eastAsia="等线"/>
                <w:sz w:val="24"/>
              </w:rPr>
              <w:t>2</w:t>
            </w:r>
          </w:p>
        </w:tc>
        <w:tc>
          <w:tcPr>
            <w:tcW w:w="2767" w:type="dxa"/>
            <w:vAlign w:val="center"/>
          </w:tcPr>
          <w:p>
            <w:pPr>
              <w:snapToGrid w:val="0"/>
              <w:jc w:val="center"/>
              <w:rPr>
                <w:rFonts w:hAnsi="宋体"/>
                <w:bCs/>
                <w:snapToGrid w:val="0"/>
                <w:color w:val="FF0000"/>
                <w:sz w:val="28"/>
                <w:szCs w:val="28"/>
              </w:rPr>
            </w:pPr>
            <w:r>
              <w:rPr>
                <w:sz w:val="24"/>
              </w:rPr>
              <w:t>3310567.68</w:t>
            </w:r>
          </w:p>
        </w:tc>
        <w:tc>
          <w:tcPr>
            <w:tcW w:w="2647" w:type="dxa"/>
            <w:vAlign w:val="center"/>
          </w:tcPr>
          <w:p>
            <w:pPr>
              <w:snapToGrid w:val="0"/>
              <w:jc w:val="center"/>
              <w:rPr>
                <w:rFonts w:hAnsi="宋体"/>
                <w:bCs/>
                <w:snapToGrid w:val="0"/>
                <w:color w:val="FF0000"/>
                <w:sz w:val="28"/>
                <w:szCs w:val="28"/>
              </w:rPr>
            </w:pPr>
            <w:r>
              <w:rPr>
                <w:sz w:val="24"/>
              </w:rPr>
              <w:t>35625349.43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3" w:hRule="atLeast"/>
        </w:trPr>
        <w:tc>
          <w:tcPr>
            <w:tcW w:w="2486" w:type="dxa"/>
            <w:vAlign w:val="center"/>
          </w:tcPr>
          <w:p>
            <w:pPr>
              <w:snapToGrid w:val="0"/>
              <w:jc w:val="center"/>
              <w:rPr>
                <w:rFonts w:hAnsi="宋体"/>
                <w:bCs/>
                <w:snapToGrid w:val="0"/>
                <w:color w:val="FF0000"/>
                <w:sz w:val="28"/>
                <w:szCs w:val="28"/>
              </w:rPr>
            </w:pPr>
            <w:r>
              <w:rPr>
                <w:rFonts w:hint="eastAsia" w:eastAsia="等线"/>
                <w:sz w:val="24"/>
              </w:rPr>
              <w:t>3</w:t>
            </w:r>
          </w:p>
        </w:tc>
        <w:tc>
          <w:tcPr>
            <w:tcW w:w="2767" w:type="dxa"/>
            <w:vAlign w:val="center"/>
          </w:tcPr>
          <w:p>
            <w:pPr>
              <w:snapToGrid w:val="0"/>
              <w:jc w:val="center"/>
              <w:rPr>
                <w:rFonts w:hAnsi="宋体"/>
                <w:bCs/>
                <w:snapToGrid w:val="0"/>
                <w:color w:val="FF0000"/>
                <w:sz w:val="28"/>
                <w:szCs w:val="28"/>
              </w:rPr>
            </w:pPr>
            <w:r>
              <w:rPr>
                <w:sz w:val="24"/>
              </w:rPr>
              <w:t>3310585.16</w:t>
            </w:r>
          </w:p>
        </w:tc>
        <w:tc>
          <w:tcPr>
            <w:tcW w:w="2647" w:type="dxa"/>
            <w:vAlign w:val="center"/>
          </w:tcPr>
          <w:p>
            <w:pPr>
              <w:snapToGrid w:val="0"/>
              <w:jc w:val="center"/>
              <w:rPr>
                <w:rFonts w:hAnsi="宋体"/>
                <w:bCs/>
                <w:snapToGrid w:val="0"/>
                <w:color w:val="FF0000"/>
                <w:sz w:val="28"/>
                <w:szCs w:val="28"/>
              </w:rPr>
            </w:pPr>
            <w:r>
              <w:rPr>
                <w:sz w:val="24"/>
              </w:rPr>
              <w:t>35625359.13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hAnsi="宋体"/>
                <w:bCs/>
                <w:snapToGrid w:val="0"/>
                <w:color w:val="FF0000"/>
                <w:sz w:val="28"/>
                <w:szCs w:val="28"/>
              </w:rPr>
            </w:pPr>
            <w:r>
              <w:rPr>
                <w:rFonts w:hint="eastAsia" w:eastAsia="等线"/>
                <w:sz w:val="24"/>
              </w:rPr>
              <w:t>4</w:t>
            </w:r>
          </w:p>
        </w:tc>
        <w:tc>
          <w:tcPr>
            <w:tcW w:w="2767" w:type="dxa"/>
            <w:vAlign w:val="center"/>
          </w:tcPr>
          <w:p>
            <w:pPr>
              <w:snapToGrid w:val="0"/>
              <w:jc w:val="center"/>
              <w:rPr>
                <w:rFonts w:hAnsi="宋体"/>
                <w:bCs/>
                <w:snapToGrid w:val="0"/>
                <w:color w:val="FF0000"/>
                <w:sz w:val="28"/>
                <w:szCs w:val="28"/>
              </w:rPr>
            </w:pPr>
            <w:r>
              <w:rPr>
                <w:sz w:val="24"/>
              </w:rPr>
              <w:t>3310641.83</w:t>
            </w:r>
          </w:p>
        </w:tc>
        <w:tc>
          <w:tcPr>
            <w:tcW w:w="2647" w:type="dxa"/>
            <w:vAlign w:val="center"/>
          </w:tcPr>
          <w:p>
            <w:pPr>
              <w:snapToGrid w:val="0"/>
              <w:jc w:val="center"/>
              <w:rPr>
                <w:rFonts w:hAnsi="宋体"/>
                <w:bCs/>
                <w:snapToGrid w:val="0"/>
                <w:color w:val="FF0000"/>
                <w:sz w:val="28"/>
                <w:szCs w:val="28"/>
              </w:rPr>
            </w:pPr>
            <w:r>
              <w:rPr>
                <w:sz w:val="24"/>
              </w:rPr>
              <w:t>35625430.16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eastAsia="等线"/>
                <w:sz w:val="24"/>
              </w:rPr>
            </w:pPr>
            <w:r>
              <w:rPr>
                <w:rFonts w:hint="eastAsia" w:eastAsia="等线"/>
                <w:sz w:val="24"/>
              </w:rPr>
              <w:t>5</w:t>
            </w:r>
          </w:p>
        </w:tc>
        <w:tc>
          <w:tcPr>
            <w:tcW w:w="2767" w:type="dxa"/>
            <w:vAlign w:val="center"/>
          </w:tcPr>
          <w:p>
            <w:pPr>
              <w:snapToGrid w:val="0"/>
              <w:jc w:val="center"/>
              <w:rPr>
                <w:sz w:val="24"/>
              </w:rPr>
            </w:pPr>
            <w:r>
              <w:rPr>
                <w:sz w:val="24"/>
              </w:rPr>
              <w:t>3310773.07</w:t>
            </w:r>
          </w:p>
        </w:tc>
        <w:tc>
          <w:tcPr>
            <w:tcW w:w="2647" w:type="dxa"/>
            <w:vAlign w:val="center"/>
          </w:tcPr>
          <w:p>
            <w:pPr>
              <w:snapToGrid w:val="0"/>
              <w:jc w:val="center"/>
              <w:rPr>
                <w:sz w:val="24"/>
              </w:rPr>
            </w:pPr>
            <w:r>
              <w:rPr>
                <w:sz w:val="24"/>
              </w:rPr>
              <w:t>35625573.72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eastAsia="等线"/>
                <w:sz w:val="24"/>
              </w:rPr>
            </w:pPr>
            <w:r>
              <w:rPr>
                <w:rFonts w:hint="eastAsia" w:eastAsia="等线"/>
                <w:sz w:val="24"/>
              </w:rPr>
              <w:t>6</w:t>
            </w:r>
          </w:p>
        </w:tc>
        <w:tc>
          <w:tcPr>
            <w:tcW w:w="2767" w:type="dxa"/>
            <w:vAlign w:val="center"/>
          </w:tcPr>
          <w:p>
            <w:pPr>
              <w:snapToGrid w:val="0"/>
              <w:jc w:val="center"/>
              <w:rPr>
                <w:sz w:val="24"/>
              </w:rPr>
            </w:pPr>
            <w:r>
              <w:rPr>
                <w:sz w:val="24"/>
              </w:rPr>
              <w:t>3310875.00</w:t>
            </w:r>
          </w:p>
        </w:tc>
        <w:tc>
          <w:tcPr>
            <w:tcW w:w="2647" w:type="dxa"/>
            <w:vAlign w:val="center"/>
          </w:tcPr>
          <w:p>
            <w:pPr>
              <w:snapToGrid w:val="0"/>
              <w:jc w:val="center"/>
              <w:rPr>
                <w:sz w:val="24"/>
              </w:rPr>
            </w:pPr>
            <w:r>
              <w:rPr>
                <w:sz w:val="24"/>
              </w:rPr>
              <w:t>35625681.70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eastAsia="等线"/>
                <w:sz w:val="24"/>
              </w:rPr>
            </w:pPr>
            <w:r>
              <w:rPr>
                <w:rFonts w:hint="eastAsia" w:eastAsia="等线"/>
                <w:sz w:val="24"/>
              </w:rPr>
              <w:t>7</w:t>
            </w:r>
          </w:p>
        </w:tc>
        <w:tc>
          <w:tcPr>
            <w:tcW w:w="2767" w:type="dxa"/>
            <w:vAlign w:val="center"/>
          </w:tcPr>
          <w:p>
            <w:pPr>
              <w:snapToGrid w:val="0"/>
              <w:jc w:val="center"/>
              <w:rPr>
                <w:sz w:val="24"/>
              </w:rPr>
            </w:pPr>
            <w:r>
              <w:rPr>
                <w:sz w:val="24"/>
              </w:rPr>
              <w:t>3310945.97</w:t>
            </w:r>
          </w:p>
        </w:tc>
        <w:tc>
          <w:tcPr>
            <w:tcW w:w="2647" w:type="dxa"/>
            <w:vAlign w:val="center"/>
          </w:tcPr>
          <w:p>
            <w:pPr>
              <w:snapToGrid w:val="0"/>
              <w:jc w:val="center"/>
              <w:rPr>
                <w:sz w:val="24"/>
              </w:rPr>
            </w:pPr>
            <w:r>
              <w:rPr>
                <w:sz w:val="24"/>
              </w:rPr>
              <w:t>35625770.42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snapToGrid w:val="0"/>
              <w:jc w:val="center"/>
              <w:rPr>
                <w:rFonts w:eastAsia="等线"/>
                <w:sz w:val="24"/>
              </w:rPr>
            </w:pPr>
            <w:r>
              <w:rPr>
                <w:rFonts w:hint="eastAsia" w:eastAsia="等线"/>
                <w:sz w:val="24"/>
              </w:rPr>
              <w:t>8</w:t>
            </w:r>
          </w:p>
        </w:tc>
        <w:tc>
          <w:tcPr>
            <w:tcW w:w="2767" w:type="dxa"/>
            <w:vAlign w:val="center"/>
          </w:tcPr>
          <w:p>
            <w:pPr>
              <w:snapToGrid w:val="0"/>
              <w:jc w:val="center"/>
              <w:rPr>
                <w:sz w:val="24"/>
              </w:rPr>
            </w:pPr>
            <w:r>
              <w:rPr>
                <w:rFonts w:hint="eastAsia"/>
                <w:sz w:val="24"/>
              </w:rPr>
              <w:t>3310926.21</w:t>
            </w:r>
          </w:p>
        </w:tc>
        <w:tc>
          <w:tcPr>
            <w:tcW w:w="2647" w:type="dxa"/>
            <w:vAlign w:val="center"/>
          </w:tcPr>
          <w:p>
            <w:pPr>
              <w:snapToGrid w:val="0"/>
              <w:jc w:val="center"/>
              <w:rPr>
                <w:sz w:val="24"/>
              </w:rPr>
            </w:pPr>
            <w:r>
              <w:rPr>
                <w:rFonts w:hint="eastAsia"/>
                <w:sz w:val="24"/>
              </w:rPr>
              <w:t>35625802.23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widowControl/>
              <w:jc w:val="center"/>
              <w:textAlignment w:val="center"/>
              <w:rPr>
                <w:color w:val="000000"/>
              </w:rPr>
            </w:pPr>
            <w:r>
              <w:rPr>
                <w:rFonts w:hint="eastAsia" w:eastAsia="等线"/>
                <w:sz w:val="24"/>
              </w:rPr>
              <w:t>9</w:t>
            </w:r>
          </w:p>
        </w:tc>
        <w:tc>
          <w:tcPr>
            <w:tcW w:w="2767" w:type="dxa"/>
          </w:tcPr>
          <w:p>
            <w:pPr>
              <w:snapToGrid w:val="0"/>
              <w:jc w:val="center"/>
              <w:rPr>
                <w:sz w:val="24"/>
              </w:rPr>
            </w:pPr>
            <w:r>
              <w:rPr>
                <w:sz w:val="24"/>
              </w:rPr>
              <w:t>3310567.77</w:t>
            </w:r>
          </w:p>
        </w:tc>
        <w:tc>
          <w:tcPr>
            <w:tcW w:w="2647" w:type="dxa"/>
          </w:tcPr>
          <w:p>
            <w:pPr>
              <w:snapToGrid w:val="0"/>
              <w:jc w:val="center"/>
              <w:rPr>
                <w:sz w:val="24"/>
              </w:rPr>
            </w:pPr>
            <w:r>
              <w:rPr>
                <w:sz w:val="24"/>
              </w:rPr>
              <w:t>35625419.83</w:t>
            </w:r>
          </w:p>
        </w:tc>
      </w:tr>
    </w:tbl>
    <w:p>
      <w:pPr>
        <w:spacing w:line="600" w:lineRule="exact"/>
        <w:ind w:firstLine="440"/>
        <w:jc w:val="left"/>
        <w:rPr>
          <w:rFonts w:ascii="宋体" w:hAnsi="宋体" w:eastAsia="宋体"/>
          <w:b/>
          <w:sz w:val="24"/>
          <w:szCs w:val="24"/>
        </w:rPr>
      </w:pPr>
      <w:r>
        <w:rPr>
          <w:rFonts w:hint="eastAsia" w:ascii="宋体" w:hAnsi="宋体" w:eastAsia="宋体"/>
          <w:b/>
          <w:sz w:val="24"/>
          <w:szCs w:val="24"/>
        </w:rPr>
        <w:t>二、出让人、交易平台联系方式</w:t>
      </w:r>
    </w:p>
    <w:p>
      <w:pPr>
        <w:spacing w:line="560" w:lineRule="exact"/>
        <w:ind w:firstLine="400"/>
        <w:jc w:val="left"/>
        <w:rPr>
          <w:sz w:val="24"/>
          <w:szCs w:val="24"/>
        </w:rPr>
      </w:pPr>
      <w:r>
        <w:rPr>
          <w:rFonts w:hint="eastAsia" w:ascii="宋体" w:hAnsi="宋体" w:eastAsia="宋体"/>
          <w:sz w:val="24"/>
          <w:szCs w:val="24"/>
        </w:rPr>
        <w:t>（一）出让人</w:t>
      </w:r>
    </w:p>
    <w:p>
      <w:pPr>
        <w:spacing w:line="560" w:lineRule="exact"/>
        <w:ind w:firstLine="400"/>
        <w:jc w:val="left"/>
        <w:rPr>
          <w:rFonts w:eastAsia="宋体"/>
          <w:sz w:val="24"/>
          <w:szCs w:val="24"/>
        </w:rPr>
      </w:pPr>
      <w:r>
        <w:rPr>
          <w:rFonts w:hint="eastAsia" w:ascii="宋体" w:hAnsi="宋体" w:eastAsia="宋体"/>
          <w:sz w:val="24"/>
          <w:szCs w:val="24"/>
        </w:rPr>
        <w:t>本次采矿权出让人为重庆市合川区规划和自然资源局，</w:t>
      </w:r>
    </w:p>
    <w:p>
      <w:pPr>
        <w:spacing w:line="560" w:lineRule="exact"/>
        <w:ind w:firstLine="400"/>
        <w:rPr>
          <w:rFonts w:ascii="宋体" w:hAnsi="宋体" w:eastAsia="宋体"/>
          <w:sz w:val="24"/>
          <w:szCs w:val="24"/>
        </w:rPr>
      </w:pPr>
      <w:r>
        <w:rPr>
          <w:rFonts w:hint="eastAsia" w:ascii="宋体" w:hAnsi="宋体" w:eastAsia="宋体"/>
          <w:sz w:val="24"/>
          <w:szCs w:val="24"/>
        </w:rPr>
        <w:t>地址：重庆市合川区希尔安大道490号，</w:t>
      </w:r>
    </w:p>
    <w:p>
      <w:pPr>
        <w:spacing w:line="560" w:lineRule="exact"/>
        <w:ind w:firstLine="400"/>
        <w:rPr>
          <w:rFonts w:eastAsia="宋体"/>
          <w:sz w:val="24"/>
          <w:szCs w:val="24"/>
        </w:rPr>
      </w:pPr>
      <w:r>
        <w:rPr>
          <w:rFonts w:hint="eastAsia" w:ascii="宋体" w:hAnsi="宋体" w:eastAsia="宋体"/>
          <w:sz w:val="24"/>
          <w:szCs w:val="24"/>
        </w:rPr>
        <w:t>联系人：吕老师，联系电话：023-42751866。</w:t>
      </w:r>
    </w:p>
    <w:p>
      <w:pPr>
        <w:numPr>
          <w:ilvl w:val="0"/>
          <w:numId w:val="1"/>
        </w:numPr>
        <w:spacing w:line="560" w:lineRule="exact"/>
        <w:ind w:firstLine="400"/>
        <w:jc w:val="left"/>
        <w:rPr>
          <w:rFonts w:ascii="宋体" w:hAnsi="宋体" w:eastAsia="宋体"/>
          <w:sz w:val="24"/>
          <w:szCs w:val="24"/>
        </w:rPr>
      </w:pPr>
      <w:r>
        <w:rPr>
          <w:rFonts w:hint="eastAsia" w:ascii="宋体" w:hAnsi="宋体" w:eastAsia="宋体"/>
          <w:sz w:val="24"/>
          <w:szCs w:val="24"/>
        </w:rPr>
        <w:t>交易平台</w:t>
      </w:r>
    </w:p>
    <w:p>
      <w:pPr>
        <w:spacing w:line="560" w:lineRule="exact"/>
        <w:ind w:firstLine="400"/>
        <w:jc w:val="left"/>
        <w:rPr>
          <w:rFonts w:ascii="宋体" w:hAnsi="宋体" w:eastAsia="宋体"/>
          <w:sz w:val="24"/>
          <w:szCs w:val="24"/>
        </w:rPr>
      </w:pPr>
      <w:r>
        <w:rPr>
          <w:rFonts w:ascii="宋体" w:hAnsi="宋体" w:eastAsia="宋体"/>
          <w:sz w:val="24"/>
          <w:szCs w:val="24"/>
        </w:rPr>
        <w:t>本宗采矿权交易平台为</w:t>
      </w:r>
      <w:r>
        <w:rPr>
          <w:rFonts w:hint="eastAsia" w:ascii="宋体" w:hAnsi="宋体" w:eastAsia="宋体"/>
          <w:sz w:val="24"/>
          <w:szCs w:val="24"/>
        </w:rPr>
        <w:t>重庆</w:t>
      </w:r>
      <w:r>
        <w:rPr>
          <w:rFonts w:hint="eastAsia" w:ascii="宋体" w:hAnsi="宋体" w:eastAsia="宋体"/>
          <w:sz w:val="24"/>
        </w:rPr>
        <w:t>市合川区公共资源交易中心，</w:t>
      </w:r>
    </w:p>
    <w:p>
      <w:pPr>
        <w:spacing w:line="560" w:lineRule="exact"/>
        <w:ind w:firstLine="400"/>
        <w:rPr>
          <w:rFonts w:ascii="宋体" w:hAnsi="宋体" w:eastAsia="宋体"/>
          <w:sz w:val="24"/>
          <w:szCs w:val="24"/>
        </w:rPr>
      </w:pPr>
      <w:r>
        <w:rPr>
          <w:rFonts w:hint="eastAsia" w:ascii="宋体" w:hAnsi="宋体" w:eastAsia="宋体"/>
          <w:sz w:val="24"/>
          <w:szCs w:val="24"/>
        </w:rPr>
        <w:t>地址：重庆市合川区希尔安大道225号5楼，</w:t>
      </w:r>
    </w:p>
    <w:p>
      <w:pPr>
        <w:spacing w:line="560" w:lineRule="exact"/>
        <w:ind w:firstLine="400"/>
        <w:rPr>
          <w:sz w:val="24"/>
          <w:szCs w:val="24"/>
        </w:rPr>
      </w:pPr>
      <w:r>
        <w:rPr>
          <w:rFonts w:hint="eastAsia" w:ascii="宋体" w:hAnsi="宋体" w:eastAsia="宋体"/>
          <w:sz w:val="24"/>
          <w:szCs w:val="24"/>
        </w:rPr>
        <w:t>联系人：郑老师，联系电话：023-42757282。</w:t>
      </w:r>
    </w:p>
    <w:p>
      <w:pPr>
        <w:spacing w:line="600" w:lineRule="exact"/>
        <w:ind w:firstLine="440"/>
        <w:jc w:val="left"/>
        <w:rPr>
          <w:rFonts w:ascii="宋体" w:hAnsi="宋体" w:eastAsia="宋体"/>
          <w:b/>
          <w:sz w:val="24"/>
          <w:szCs w:val="24"/>
        </w:rPr>
      </w:pPr>
      <w:r>
        <w:rPr>
          <w:rFonts w:hint="eastAsia" w:ascii="宋体" w:hAnsi="宋体" w:eastAsia="宋体"/>
          <w:b/>
          <w:sz w:val="24"/>
          <w:szCs w:val="24"/>
        </w:rPr>
        <w:t>三、竞买申请人准入条件</w:t>
      </w:r>
    </w:p>
    <w:p>
      <w:pPr>
        <w:spacing w:line="560" w:lineRule="exact"/>
        <w:ind w:firstLine="400"/>
        <w:jc w:val="left"/>
        <w:rPr>
          <w:rFonts w:ascii="宋体" w:hAnsi="宋体" w:eastAsia="宋体"/>
          <w:sz w:val="24"/>
          <w:szCs w:val="24"/>
        </w:rPr>
      </w:pPr>
      <w:r>
        <w:rPr>
          <w:rFonts w:hint="eastAsia" w:ascii="宋体" w:hAnsi="宋体" w:eastAsia="宋体"/>
          <w:sz w:val="24"/>
          <w:szCs w:val="24"/>
        </w:rPr>
        <w:t>（一）竞买申请人须为营利法人；</w:t>
      </w:r>
    </w:p>
    <w:p>
      <w:pPr>
        <w:spacing w:line="560" w:lineRule="exact"/>
        <w:ind w:firstLine="400"/>
        <w:jc w:val="left"/>
        <w:rPr>
          <w:rFonts w:ascii="宋体" w:hAnsi="宋体" w:eastAsia="宋体"/>
          <w:sz w:val="24"/>
          <w:szCs w:val="24"/>
        </w:rPr>
      </w:pPr>
      <w:r>
        <w:rPr>
          <w:rFonts w:hint="eastAsia" w:ascii="宋体" w:hAnsi="宋体" w:eastAsia="宋体"/>
          <w:sz w:val="24"/>
          <w:szCs w:val="24"/>
        </w:rPr>
        <w:t>（二）竞买申请人属于以下情形之一的不得参与竞买：</w:t>
      </w:r>
    </w:p>
    <w:p>
      <w:pPr>
        <w:spacing w:line="560" w:lineRule="exact"/>
        <w:ind w:firstLine="400"/>
        <w:jc w:val="left"/>
        <w:rPr>
          <w:rFonts w:ascii="宋体" w:hAnsi="宋体" w:eastAsia="宋体"/>
          <w:sz w:val="24"/>
          <w:szCs w:val="24"/>
        </w:rPr>
      </w:pPr>
      <w:r>
        <w:rPr>
          <w:rFonts w:hint="eastAsia" w:ascii="宋体" w:hAnsi="宋体" w:eastAsia="宋体"/>
          <w:sz w:val="24"/>
          <w:szCs w:val="24"/>
        </w:rPr>
        <w:t>1、在自然资源部矿业权人勘查开采信息公示系统的“矿业权人严重违法名单”内；</w:t>
      </w:r>
    </w:p>
    <w:p>
      <w:pPr>
        <w:spacing w:line="560" w:lineRule="exact"/>
        <w:ind w:firstLine="400"/>
        <w:jc w:val="left"/>
        <w:rPr>
          <w:rFonts w:ascii="宋体" w:hAnsi="宋体" w:eastAsia="宋体"/>
          <w:sz w:val="24"/>
          <w:szCs w:val="24"/>
        </w:rPr>
      </w:pPr>
      <w:r>
        <w:rPr>
          <w:rFonts w:hint="eastAsia" w:ascii="宋体" w:hAnsi="宋体" w:eastAsia="宋体"/>
          <w:sz w:val="24"/>
          <w:szCs w:val="24"/>
        </w:rPr>
        <w:t>2．在“信用中国”网站的“严重失信主体名单”内或在重庆市信用惩戒严重失信主体“黑名单”内禁止参与矿业权出让的；</w:t>
      </w:r>
    </w:p>
    <w:p>
      <w:pPr>
        <w:spacing w:line="560" w:lineRule="exact"/>
        <w:ind w:firstLine="400"/>
        <w:jc w:val="left"/>
        <w:rPr>
          <w:rFonts w:ascii="宋体" w:hAnsi="宋体" w:eastAsia="宋体"/>
          <w:sz w:val="24"/>
          <w:szCs w:val="24"/>
        </w:rPr>
      </w:pPr>
      <w:r>
        <w:rPr>
          <w:rFonts w:hint="eastAsia" w:ascii="宋体" w:hAnsi="宋体" w:eastAsia="宋体"/>
          <w:sz w:val="24"/>
          <w:szCs w:val="24"/>
        </w:rPr>
        <w:t>3．被吊销采矿许可证且自吊销之日起未满2年的。</w:t>
      </w:r>
    </w:p>
    <w:p>
      <w:pPr>
        <w:spacing w:line="560" w:lineRule="exact"/>
        <w:ind w:firstLine="400"/>
        <w:jc w:val="left"/>
        <w:rPr>
          <w:rFonts w:ascii="宋体" w:hAnsi="宋体" w:eastAsia="宋体"/>
          <w:b/>
          <w:sz w:val="24"/>
          <w:szCs w:val="24"/>
        </w:rPr>
      </w:pPr>
      <w:r>
        <w:rPr>
          <w:rFonts w:hint="eastAsia" w:ascii="宋体" w:hAnsi="宋体" w:eastAsia="宋体"/>
          <w:b/>
          <w:sz w:val="24"/>
          <w:szCs w:val="24"/>
        </w:rPr>
        <w:t>四、报名申请</w:t>
      </w:r>
    </w:p>
    <w:p>
      <w:pPr>
        <w:spacing w:line="560" w:lineRule="exact"/>
        <w:ind w:firstLine="403"/>
        <w:jc w:val="left"/>
        <w:rPr>
          <w:rFonts w:ascii="宋体" w:hAnsi="宋体" w:eastAsia="宋体"/>
          <w:sz w:val="24"/>
          <w:szCs w:val="24"/>
        </w:rPr>
      </w:pPr>
      <w:r>
        <w:rPr>
          <w:rFonts w:hint="eastAsia" w:ascii="宋体" w:hAnsi="宋体" w:eastAsia="宋体"/>
          <w:sz w:val="24"/>
          <w:szCs w:val="24"/>
        </w:rPr>
        <w:t>本次公开出让的采矿权可采取现场报名或网上报名方式：</w:t>
      </w:r>
    </w:p>
    <w:p>
      <w:pPr>
        <w:spacing w:line="560" w:lineRule="exact"/>
        <w:ind w:firstLine="403"/>
        <w:jc w:val="left"/>
        <w:rPr>
          <w:rFonts w:ascii="宋体" w:hAnsi="宋体" w:eastAsia="宋体"/>
          <w:sz w:val="24"/>
          <w:szCs w:val="24"/>
        </w:rPr>
      </w:pPr>
      <w:r>
        <w:rPr>
          <w:rFonts w:hint="eastAsia" w:ascii="宋体" w:hAnsi="宋体" w:eastAsia="宋体"/>
          <w:sz w:val="24"/>
          <w:szCs w:val="24"/>
        </w:rPr>
        <w:t>（现场报名或网上报名选其一或两者均可）</w:t>
      </w:r>
    </w:p>
    <w:p>
      <w:pPr>
        <w:spacing w:line="560" w:lineRule="exact"/>
        <w:ind w:firstLine="403"/>
        <w:jc w:val="left"/>
        <w:rPr>
          <w:rFonts w:ascii="宋体" w:hAnsi="宋体" w:eastAsia="宋体"/>
          <w:sz w:val="24"/>
        </w:rPr>
      </w:pPr>
      <w:r>
        <w:rPr>
          <w:rFonts w:hint="eastAsia" w:ascii="宋体" w:hAnsi="宋体" w:eastAsia="宋体"/>
          <w:sz w:val="24"/>
          <w:szCs w:val="24"/>
        </w:rPr>
        <w:t>（一）报名时限：</w:t>
      </w:r>
      <w:r>
        <w:rPr>
          <w:rFonts w:hint="eastAsia" w:ascii="宋体" w:hAnsi="宋体" w:eastAsia="宋体"/>
          <w:sz w:val="24"/>
        </w:rPr>
        <w:t>2024年2月6日09时-2024年3月12日18时</w:t>
      </w:r>
      <w:r>
        <w:rPr>
          <w:rFonts w:hint="eastAsia" w:ascii="宋体" w:hAnsi="宋体" w:eastAsia="宋体"/>
          <w:sz w:val="24"/>
          <w:szCs w:val="24"/>
        </w:rPr>
        <w:t>。</w:t>
      </w:r>
    </w:p>
    <w:p>
      <w:pPr>
        <w:spacing w:line="560" w:lineRule="exact"/>
        <w:ind w:firstLine="403"/>
        <w:jc w:val="left"/>
        <w:rPr>
          <w:rFonts w:ascii="宋体" w:hAnsi="宋体" w:eastAsia="宋体"/>
          <w:sz w:val="24"/>
          <w:szCs w:val="24"/>
        </w:rPr>
      </w:pPr>
      <w:r>
        <w:rPr>
          <w:rFonts w:hint="eastAsia" w:ascii="宋体" w:hAnsi="宋体" w:eastAsia="宋体"/>
          <w:sz w:val="24"/>
          <w:szCs w:val="24"/>
        </w:rPr>
        <w:t>（二）申请资料</w:t>
      </w:r>
    </w:p>
    <w:p>
      <w:pPr>
        <w:spacing w:line="560" w:lineRule="exact"/>
        <w:ind w:firstLine="403"/>
        <w:jc w:val="left"/>
        <w:rPr>
          <w:rFonts w:ascii="宋体" w:hAnsi="宋体" w:eastAsia="宋体"/>
          <w:sz w:val="24"/>
          <w:szCs w:val="24"/>
        </w:rPr>
      </w:pPr>
      <w:r>
        <w:rPr>
          <w:rFonts w:hint="eastAsia" w:ascii="宋体" w:hAnsi="宋体" w:eastAsia="宋体"/>
          <w:sz w:val="24"/>
          <w:szCs w:val="24"/>
        </w:rPr>
        <w:t>1、《竞买申请书》（原件1份）（附件一）；</w:t>
      </w:r>
    </w:p>
    <w:p>
      <w:pPr>
        <w:spacing w:line="560" w:lineRule="exact"/>
        <w:ind w:firstLine="403"/>
        <w:jc w:val="left"/>
        <w:rPr>
          <w:rFonts w:ascii="宋体" w:hAnsi="宋体" w:eastAsia="宋体"/>
          <w:sz w:val="24"/>
          <w:szCs w:val="24"/>
        </w:rPr>
      </w:pPr>
      <w:r>
        <w:rPr>
          <w:rFonts w:hint="eastAsia" w:ascii="宋体" w:hAnsi="宋体" w:eastAsia="宋体"/>
          <w:sz w:val="24"/>
          <w:szCs w:val="24"/>
        </w:rPr>
        <w:t>2、单位工商营业执照副本（复印件1份）；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3、法人的身份证明（复印件1份）；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4、法人不能亲自参加的应提供《授权委托书》（原件1份）（附件三）；</w:t>
      </w:r>
    </w:p>
    <w:p>
      <w:pPr>
        <w:spacing w:line="560" w:lineRule="exact"/>
        <w:ind w:firstLine="403"/>
        <w:jc w:val="left"/>
        <w:rPr>
          <w:rFonts w:ascii="宋体" w:hAnsi="宋体" w:eastAsia="宋体"/>
          <w:sz w:val="24"/>
          <w:szCs w:val="24"/>
        </w:rPr>
      </w:pPr>
      <w:r>
        <w:rPr>
          <w:rFonts w:hint="eastAsia" w:ascii="宋体" w:hAnsi="宋体" w:eastAsia="宋体"/>
          <w:sz w:val="24"/>
          <w:szCs w:val="24"/>
        </w:rPr>
        <w:t>5、受托人身份证明（复印件1份）；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6、竟买申请人签署的《出让文件》（原件1份）；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（三）现场报名</w:t>
      </w:r>
    </w:p>
    <w:p>
      <w:pPr>
        <w:spacing w:line="560" w:lineRule="exact"/>
        <w:ind w:firstLine="403"/>
        <w:jc w:val="left"/>
        <w:rPr>
          <w:rFonts w:ascii="宋体" w:hAnsi="宋体" w:eastAsia="宋体"/>
          <w:sz w:val="24"/>
          <w:szCs w:val="24"/>
        </w:rPr>
      </w:pPr>
      <w:r>
        <w:rPr>
          <w:rFonts w:hint="eastAsia" w:ascii="宋体" w:hAnsi="宋体" w:eastAsia="宋体"/>
          <w:sz w:val="24"/>
          <w:szCs w:val="24"/>
        </w:rPr>
        <w:t>申请人可于报名期限内足额交纳竞买保证金到指定账户，并持相应报名纸质件资料到重庆市合川区公共资源交易中心提交报名申请。提交复印件的应于报名时提交原件供核对。</w:t>
      </w:r>
    </w:p>
    <w:p>
      <w:pPr>
        <w:spacing w:line="560" w:lineRule="exact"/>
        <w:ind w:firstLine="403"/>
        <w:jc w:val="left"/>
        <w:rPr>
          <w:rFonts w:ascii="宋体" w:hAnsi="宋体" w:eastAsia="宋体"/>
          <w:sz w:val="24"/>
          <w:szCs w:val="24"/>
        </w:rPr>
      </w:pPr>
      <w:r>
        <w:rPr>
          <w:rFonts w:hint="eastAsia" w:ascii="宋体" w:hAnsi="宋体" w:eastAsia="宋体"/>
          <w:sz w:val="24"/>
          <w:szCs w:val="24"/>
        </w:rPr>
        <w:t>报名地点：重庆市合川区希尔安大道225号5楼。</w:t>
      </w:r>
    </w:p>
    <w:p>
      <w:pPr>
        <w:spacing w:line="560" w:lineRule="exact"/>
        <w:ind w:firstLine="403"/>
        <w:jc w:val="left"/>
        <w:rPr>
          <w:rFonts w:ascii="宋体" w:hAnsi="宋体" w:eastAsia="宋体"/>
          <w:sz w:val="24"/>
          <w:szCs w:val="24"/>
        </w:rPr>
      </w:pPr>
      <w:r>
        <w:rPr>
          <w:rFonts w:hint="eastAsia" w:ascii="宋体" w:hAnsi="宋体" w:eastAsia="宋体"/>
          <w:sz w:val="24"/>
          <w:szCs w:val="24"/>
        </w:rPr>
        <w:t>联系人：郑老师，联系电话：023-42757282。</w:t>
      </w:r>
    </w:p>
    <w:p>
      <w:pPr>
        <w:spacing w:line="560" w:lineRule="exact"/>
        <w:ind w:firstLine="403"/>
        <w:jc w:val="left"/>
        <w:rPr>
          <w:rFonts w:ascii="宋体" w:hAnsi="宋体" w:eastAsia="宋体"/>
          <w:sz w:val="24"/>
          <w:szCs w:val="24"/>
        </w:rPr>
      </w:pPr>
      <w:r>
        <w:rPr>
          <w:rFonts w:hint="eastAsia" w:ascii="宋体" w:hAnsi="宋体" w:eastAsia="宋体"/>
          <w:sz w:val="24"/>
          <w:szCs w:val="24"/>
        </w:rPr>
        <w:t>（四）网上报名</w:t>
      </w:r>
    </w:p>
    <w:p>
      <w:pPr>
        <w:spacing w:line="560" w:lineRule="exact"/>
        <w:ind w:firstLine="403"/>
        <w:jc w:val="left"/>
        <w:rPr>
          <w:rFonts w:ascii="宋体" w:hAnsi="宋体" w:eastAsia="宋体"/>
          <w:sz w:val="24"/>
          <w:szCs w:val="24"/>
        </w:rPr>
      </w:pPr>
      <w:r>
        <w:rPr>
          <w:rFonts w:hint="eastAsia" w:ascii="宋体" w:hAnsi="宋体" w:eastAsia="宋体"/>
          <w:sz w:val="24"/>
          <w:szCs w:val="24"/>
        </w:rPr>
        <w:t>申请人可于报名期限内登录重庆市国有建设用地使用权和矿业权网上交易系统，按规定提交竞买申请，在报名期限内足额交纳竞买保证金，提交报名资料电子档。</w:t>
      </w:r>
    </w:p>
    <w:p>
      <w:pPr>
        <w:spacing w:line="560" w:lineRule="exact"/>
        <w:ind w:firstLine="400"/>
        <w:jc w:val="left"/>
        <w:rPr>
          <w:rFonts w:ascii="宋体" w:hAnsi="宋体" w:eastAsia="宋体"/>
          <w:sz w:val="24"/>
          <w:szCs w:val="24"/>
        </w:rPr>
      </w:pPr>
      <w:r>
        <w:rPr>
          <w:rFonts w:hint="eastAsia" w:ascii="宋体" w:hAnsi="宋体" w:eastAsia="宋体"/>
          <w:sz w:val="24"/>
          <w:szCs w:val="24"/>
        </w:rPr>
        <w:t>（五）保证金的缴纳及相关规定</w:t>
      </w:r>
    </w:p>
    <w:p>
      <w:pPr>
        <w:spacing w:line="560" w:lineRule="exact"/>
        <w:ind w:firstLine="400"/>
        <w:jc w:val="left"/>
        <w:rPr>
          <w:rFonts w:ascii="宋体" w:hAnsi="宋体" w:eastAsia="宋体"/>
          <w:sz w:val="24"/>
          <w:szCs w:val="24"/>
        </w:rPr>
      </w:pPr>
      <w:r>
        <w:rPr>
          <w:rFonts w:hint="eastAsia" w:ascii="宋体" w:hAnsi="宋体" w:eastAsia="宋体"/>
          <w:sz w:val="24"/>
          <w:szCs w:val="24"/>
        </w:rPr>
        <w:t>1、保证金的缴纳：该宗采矿权保证金为人民币78.784万元（大写；柒拾捌万柒仟捌佰肆拾元整）、竞买申请人应于报名时间截止之前向重庆市合川区公共资源交易中心缴纳竞买保证金。竞买保证金到帐截止时间为：2024年3月12日16时。缴款时间以银行确认的到账时间为准，保证金未按时到账的，不予受理报名。</w:t>
      </w:r>
    </w:p>
    <w:p>
      <w:pPr>
        <w:spacing w:line="560" w:lineRule="exact"/>
        <w:ind w:firstLine="400"/>
        <w:jc w:val="left"/>
        <w:rPr>
          <w:rFonts w:ascii="宋体" w:hAnsi="宋体" w:eastAsia="宋体"/>
          <w:sz w:val="24"/>
          <w:szCs w:val="24"/>
        </w:rPr>
      </w:pPr>
      <w:r>
        <w:rPr>
          <w:rFonts w:hint="eastAsia" w:ascii="宋体" w:hAnsi="宋体" w:eastAsia="宋体"/>
          <w:sz w:val="24"/>
          <w:szCs w:val="24"/>
        </w:rPr>
        <w:t>保证金户名：重庆市合川区公共资源交易中心</w:t>
      </w:r>
    </w:p>
    <w:p>
      <w:pPr>
        <w:spacing w:line="560" w:lineRule="exact"/>
        <w:ind w:firstLine="400"/>
        <w:jc w:val="left"/>
        <w:rPr>
          <w:rFonts w:ascii="宋体" w:hAnsi="宋体" w:eastAsia="宋体"/>
          <w:sz w:val="24"/>
          <w:szCs w:val="24"/>
        </w:rPr>
      </w:pPr>
      <w:r>
        <w:rPr>
          <w:rFonts w:hint="eastAsia" w:ascii="宋体" w:hAnsi="宋体" w:eastAsia="宋体"/>
          <w:sz w:val="24"/>
          <w:szCs w:val="24"/>
        </w:rPr>
        <w:t>开户行：建行重庆合川南新路支行</w:t>
      </w:r>
    </w:p>
    <w:p>
      <w:pPr>
        <w:spacing w:line="560" w:lineRule="exact"/>
        <w:ind w:firstLine="400"/>
        <w:jc w:val="left"/>
        <w:rPr>
          <w:rFonts w:ascii="宋体" w:hAnsi="宋体" w:eastAsia="宋体"/>
          <w:sz w:val="24"/>
          <w:szCs w:val="24"/>
        </w:rPr>
      </w:pPr>
      <w:r>
        <w:rPr>
          <w:rFonts w:hint="eastAsia" w:ascii="宋体" w:hAnsi="宋体" w:eastAsia="宋体"/>
          <w:sz w:val="24"/>
          <w:szCs w:val="24"/>
        </w:rPr>
        <w:t>账号：50001153700050205878</w:t>
      </w:r>
    </w:p>
    <w:p>
      <w:pPr>
        <w:numPr>
          <w:ilvl w:val="0"/>
          <w:numId w:val="2"/>
        </w:num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numPr>
          <w:ilvl w:val="0"/>
          <w:numId w:val="3"/>
        </w:numPr>
        <w:spacing w:line="600" w:lineRule="exact"/>
        <w:ind w:firstLine="440"/>
        <w:jc w:val="left"/>
        <w:rPr>
          <w:rFonts w:ascii="宋体" w:hAnsi="宋体" w:eastAsia="宋体"/>
          <w:b/>
          <w:sz w:val="24"/>
          <w:szCs w:val="24"/>
        </w:rPr>
      </w:pPr>
      <w:r>
        <w:rPr>
          <w:rFonts w:hint="eastAsia" w:ascii="宋体" w:hAnsi="宋体" w:eastAsia="宋体"/>
          <w:b/>
          <w:sz w:val="24"/>
          <w:szCs w:val="24"/>
        </w:rPr>
        <w:t>确定竞得人的标准和方法</w:t>
      </w:r>
    </w:p>
    <w:p>
      <w:pPr>
        <w:spacing w:line="560" w:lineRule="exact"/>
        <w:ind w:firstLine="480" w:firstLineChars="200"/>
        <w:jc w:val="left"/>
        <w:rPr>
          <w:rFonts w:ascii="宋体" w:hAnsi="宋体" w:eastAsia="宋体"/>
          <w:sz w:val="24"/>
          <w:szCs w:val="24"/>
        </w:rPr>
      </w:pPr>
      <w:r>
        <w:rPr>
          <w:rFonts w:hint="eastAsia" w:ascii="宋体" w:hAnsi="宋体" w:eastAsia="宋体"/>
          <w:sz w:val="24"/>
          <w:szCs w:val="24"/>
        </w:rPr>
        <w:t>（一）挂牌时间：</w:t>
      </w:r>
      <w:r>
        <w:rPr>
          <w:rFonts w:hint="eastAsia" w:ascii="宋体" w:hAnsi="宋体" w:eastAsia="宋体"/>
          <w:sz w:val="24"/>
        </w:rPr>
        <w:t>2024年3月13日09时</w:t>
      </w:r>
      <w:r>
        <w:rPr>
          <w:rFonts w:hint="eastAsia" w:ascii="宋体" w:hAnsi="宋体" w:eastAsia="宋体"/>
          <w:sz w:val="24"/>
          <w:lang w:val="en-US" w:eastAsia="zh-CN"/>
        </w:rPr>
        <w:t>-</w:t>
      </w:r>
      <w:r>
        <w:rPr>
          <w:rFonts w:hint="eastAsia" w:ascii="宋体" w:hAnsi="宋体" w:eastAsia="宋体"/>
          <w:sz w:val="24"/>
        </w:rPr>
        <w:t>2024年3月27日18时</w:t>
      </w:r>
      <w:r>
        <w:rPr>
          <w:rFonts w:hint="eastAsia" w:ascii="宋体" w:hAnsi="宋体" w:eastAsia="宋体"/>
          <w:sz w:val="24"/>
          <w:szCs w:val="24"/>
        </w:rPr>
        <w:t>。</w:t>
      </w:r>
    </w:p>
    <w:p>
      <w:pPr>
        <w:spacing w:line="560" w:lineRule="exact"/>
        <w:ind w:firstLine="480" w:firstLineChars="200"/>
        <w:jc w:val="left"/>
        <w:rPr>
          <w:rFonts w:ascii="宋体" w:hAnsi="宋体" w:eastAsia="宋体"/>
          <w:sz w:val="24"/>
          <w:szCs w:val="24"/>
        </w:rPr>
      </w:pPr>
      <w:r>
        <w:rPr>
          <w:rFonts w:hint="eastAsia" w:ascii="宋体" w:hAnsi="宋体" w:eastAsia="宋体"/>
          <w:sz w:val="24"/>
          <w:szCs w:val="24"/>
        </w:rPr>
        <w:t>（二）本次挂牌出让为无底价，采用增价竞价的方式，按照价高者得原则确定竞得人。挂牌成交后的竞得人按规定即时签订《成交确认书》，成交结果在相关网站公示10个工作日。</w:t>
      </w:r>
    </w:p>
    <w:p>
      <w:pPr>
        <w:spacing w:line="560" w:lineRule="exact"/>
        <w:ind w:firstLine="403"/>
        <w:jc w:val="left"/>
        <w:rPr>
          <w:rFonts w:ascii="宋体" w:hAnsi="宋体" w:eastAsia="宋体"/>
          <w:sz w:val="24"/>
          <w:szCs w:val="24"/>
        </w:rPr>
      </w:pPr>
      <w:r>
        <w:rPr>
          <w:rFonts w:hint="eastAsia" w:ascii="宋体" w:hAnsi="宋体" w:eastAsia="宋体"/>
          <w:sz w:val="24"/>
          <w:szCs w:val="24"/>
        </w:rPr>
        <w:t>（三）挂牌期限届满，宣布最高报价及其报价者，并现场询问竞买人是否愿意继续竞价。有愿意继续竞价的，通过限时竞价确定竞得人。报价以增价方式进行，每次加价幅度为5万元或其整数倍，加价不得高于加价幅度的5倍。</w:t>
      </w:r>
    </w:p>
    <w:p>
      <w:pPr>
        <w:spacing w:line="560" w:lineRule="exact"/>
        <w:ind w:firstLine="403"/>
        <w:jc w:val="left"/>
        <w:rPr>
          <w:rFonts w:ascii="宋体" w:hAnsi="宋体" w:eastAsia="宋体"/>
          <w:sz w:val="24"/>
          <w:szCs w:val="24"/>
        </w:rPr>
      </w:pPr>
      <w:r>
        <w:rPr>
          <w:rFonts w:hint="eastAsia" w:ascii="宋体" w:hAnsi="宋体" w:eastAsia="宋体"/>
          <w:sz w:val="24"/>
          <w:szCs w:val="24"/>
        </w:rPr>
        <w:t>（四）挂牌程序及竞得方式按国家及重庆市有关规定执行。如在挂牌程序中，本采矿权因监管部门要求需终止交易行为的，在告知竞买申请人后，退还采矿权竞买申请人已交纳的竞买保证金，不计利息。</w:t>
      </w:r>
    </w:p>
    <w:p>
      <w:pPr>
        <w:spacing w:line="560" w:lineRule="exact"/>
        <w:ind w:firstLine="420"/>
        <w:rPr>
          <w:rFonts w:ascii="宋体" w:hAnsi="宋体" w:eastAsia="宋体"/>
          <w:sz w:val="24"/>
          <w:szCs w:val="24"/>
        </w:rPr>
      </w:pPr>
      <w:r>
        <w:rPr>
          <w:rFonts w:hint="eastAsia" w:ascii="宋体" w:hAnsi="宋体" w:eastAsia="宋体"/>
          <w:sz w:val="24"/>
          <w:szCs w:val="24"/>
        </w:rPr>
        <w:t>（五）挂牌成交后，竞得人与重庆市合川区公共资源交易中心现场签订《采矿权出让成交确认书》。</w:t>
      </w:r>
    </w:p>
    <w:p>
      <w:pPr>
        <w:spacing w:line="600" w:lineRule="exact"/>
        <w:ind w:left="420"/>
        <w:jc w:val="left"/>
        <w:rPr>
          <w:rFonts w:ascii="宋体" w:hAnsi="宋体" w:eastAsia="宋体"/>
          <w:b/>
          <w:sz w:val="24"/>
          <w:szCs w:val="24"/>
        </w:rPr>
      </w:pPr>
      <w:r>
        <w:rPr>
          <w:rFonts w:hint="eastAsia" w:ascii="宋体" w:hAnsi="宋体" w:eastAsia="宋体"/>
          <w:b/>
          <w:sz w:val="24"/>
          <w:szCs w:val="24"/>
        </w:rPr>
        <w:t>六、风险提示</w:t>
      </w:r>
    </w:p>
    <w:p>
      <w:pPr>
        <w:spacing w:line="460" w:lineRule="exact"/>
        <w:ind w:firstLine="500"/>
        <w:rPr>
          <w:rFonts w:ascii="宋体" w:hAnsi="宋体" w:eastAsia="宋体"/>
          <w:sz w:val="24"/>
          <w:szCs w:val="24"/>
        </w:rPr>
      </w:pPr>
      <w:r>
        <w:rPr>
          <w:rFonts w:hint="eastAsia" w:ascii="宋体" w:hAnsi="宋体" w:eastAsia="宋体"/>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460" w:lineRule="exact"/>
        <w:ind w:firstLine="500"/>
        <w:rPr>
          <w:rFonts w:ascii="宋体" w:hAnsi="宋体" w:eastAsia="宋体"/>
          <w:sz w:val="24"/>
          <w:szCs w:val="24"/>
        </w:rPr>
      </w:pPr>
      <w:r>
        <w:rPr>
          <w:rFonts w:hint="eastAsia" w:ascii="宋体" w:hAnsi="宋体" w:eastAsia="宋体"/>
          <w:sz w:val="24"/>
          <w:szCs w:val="24"/>
        </w:rPr>
        <w:t>（二）有关该宗采矿权的用地、用水、用电、公路、环保、基础设施等工作，由竞得人自行负责解决并依法完善相关手续；</w:t>
      </w:r>
    </w:p>
    <w:p>
      <w:pPr>
        <w:spacing w:line="460" w:lineRule="exact"/>
        <w:ind w:firstLine="500"/>
        <w:rPr>
          <w:rFonts w:ascii="宋体" w:hAnsi="宋体" w:eastAsia="宋体"/>
          <w:sz w:val="24"/>
          <w:szCs w:val="24"/>
        </w:rPr>
      </w:pPr>
      <w:r>
        <w:rPr>
          <w:rFonts w:hint="eastAsia" w:ascii="宋体" w:hAnsi="宋体" w:eastAsia="宋体"/>
          <w:sz w:val="24"/>
          <w:szCs w:val="24"/>
        </w:rPr>
        <w:t>（三）若竞得人竞得该宗采矿权后，在办理采矿登记前进行安全、环境评价等认定为不适宜开采的，该宗采矿权按不成交处理。</w:t>
      </w:r>
    </w:p>
    <w:p>
      <w:pPr>
        <w:spacing w:line="600" w:lineRule="exact"/>
        <w:ind w:left="420"/>
        <w:jc w:val="left"/>
        <w:rPr>
          <w:rFonts w:ascii="宋体" w:hAnsi="宋体" w:eastAsia="宋体"/>
          <w:b/>
          <w:sz w:val="24"/>
          <w:szCs w:val="24"/>
        </w:rPr>
      </w:pPr>
      <w:r>
        <w:rPr>
          <w:rFonts w:hint="eastAsia" w:ascii="宋体" w:hAnsi="宋体" w:eastAsia="宋体"/>
          <w:b/>
          <w:sz w:val="24"/>
          <w:szCs w:val="24"/>
        </w:rPr>
        <w:t>七、违约责任、公共资源交易领域失信联合惩戒相关提示</w:t>
      </w:r>
    </w:p>
    <w:p>
      <w:pPr>
        <w:spacing w:line="560" w:lineRule="exact"/>
        <w:ind w:firstLine="403"/>
        <w:jc w:val="left"/>
        <w:rPr>
          <w:rFonts w:ascii="宋体" w:hAnsi="宋体" w:eastAsia="宋体"/>
          <w:sz w:val="24"/>
          <w:szCs w:val="24"/>
        </w:rPr>
      </w:pPr>
      <w:r>
        <w:rPr>
          <w:rFonts w:hint="eastAsia" w:ascii="宋体" w:hAnsi="宋体" w:eastAsia="宋体"/>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560" w:lineRule="exact"/>
        <w:ind w:firstLine="403"/>
        <w:jc w:val="left"/>
        <w:rPr>
          <w:rFonts w:ascii="宋体" w:hAnsi="宋体" w:eastAsia="宋体"/>
          <w:sz w:val="24"/>
          <w:szCs w:val="24"/>
        </w:rPr>
      </w:pPr>
      <w:r>
        <w:rPr>
          <w:rFonts w:hint="eastAsia" w:ascii="宋体" w:hAnsi="宋体" w:eastAsia="宋体"/>
          <w:sz w:val="24"/>
          <w:szCs w:val="24"/>
        </w:rPr>
        <w:t>（二）有下列情形之一的，视为竞买人、竞得人违约，竞得结果无效，并将其列入失信联合惩戒名单并承担相当于竞买保证金的违约金，出让方有权不再签订出让合同或解除合同：</w:t>
      </w:r>
    </w:p>
    <w:p>
      <w:pPr>
        <w:spacing w:line="560" w:lineRule="exact"/>
        <w:ind w:firstLine="403"/>
        <w:jc w:val="left"/>
        <w:rPr>
          <w:rFonts w:ascii="宋体" w:hAnsi="宋体" w:eastAsia="宋体"/>
          <w:sz w:val="24"/>
          <w:szCs w:val="24"/>
        </w:rPr>
      </w:pPr>
      <w:r>
        <w:rPr>
          <w:rFonts w:hint="eastAsia" w:ascii="宋体" w:hAnsi="宋体" w:eastAsia="宋体"/>
          <w:sz w:val="24"/>
          <w:szCs w:val="24"/>
        </w:rPr>
        <w:t>1.竞买人之间串通报价，损害国家利益、社会公共利益或者他人合法权益的；</w:t>
      </w:r>
    </w:p>
    <w:p>
      <w:pPr>
        <w:spacing w:line="560" w:lineRule="exact"/>
        <w:ind w:firstLine="403"/>
        <w:jc w:val="left"/>
        <w:rPr>
          <w:rFonts w:ascii="宋体" w:hAnsi="宋体" w:eastAsia="宋体"/>
          <w:sz w:val="24"/>
          <w:szCs w:val="24"/>
        </w:rPr>
      </w:pPr>
      <w:r>
        <w:rPr>
          <w:rFonts w:hint="eastAsia" w:ascii="宋体" w:hAnsi="宋体" w:eastAsia="宋体"/>
          <w:sz w:val="24"/>
          <w:szCs w:val="24"/>
        </w:rPr>
        <w:t>2.竞买人弄虚作假，骗取交易资格或竞得的；</w:t>
      </w:r>
    </w:p>
    <w:p>
      <w:pPr>
        <w:spacing w:line="560" w:lineRule="exact"/>
        <w:ind w:firstLine="403"/>
        <w:jc w:val="left"/>
        <w:rPr>
          <w:rFonts w:ascii="宋体" w:hAnsi="宋体" w:eastAsia="宋体"/>
          <w:sz w:val="24"/>
          <w:szCs w:val="24"/>
        </w:rPr>
      </w:pPr>
      <w:r>
        <w:rPr>
          <w:rFonts w:hint="eastAsia" w:ascii="宋体" w:hAnsi="宋体" w:eastAsia="宋体"/>
          <w:sz w:val="24"/>
          <w:szCs w:val="24"/>
        </w:rPr>
        <w:t>3.采取行贿或其他不正当手段竞得的；</w:t>
      </w:r>
      <w:bookmarkStart w:id="0" w:name="_GoBack"/>
      <w:bookmarkEnd w:id="0"/>
    </w:p>
    <w:p>
      <w:pPr>
        <w:spacing w:line="560" w:lineRule="exact"/>
        <w:ind w:firstLine="403"/>
        <w:jc w:val="left"/>
        <w:rPr>
          <w:rFonts w:ascii="宋体" w:hAnsi="宋体" w:eastAsia="宋体"/>
          <w:sz w:val="24"/>
          <w:szCs w:val="24"/>
        </w:rPr>
      </w:pPr>
      <w:r>
        <w:rPr>
          <w:rFonts w:hint="eastAsia" w:ascii="宋体" w:hAnsi="宋体" w:eastAsia="宋体"/>
          <w:sz w:val="24"/>
          <w:szCs w:val="24"/>
        </w:rPr>
        <w:t>4.竞得人逾期不签订或者拒绝签订成交确认书的；</w:t>
      </w:r>
    </w:p>
    <w:p>
      <w:pPr>
        <w:spacing w:line="560" w:lineRule="exact"/>
        <w:ind w:firstLine="403"/>
        <w:jc w:val="left"/>
        <w:rPr>
          <w:rFonts w:ascii="宋体" w:hAnsi="宋体" w:eastAsia="宋体"/>
          <w:sz w:val="24"/>
          <w:szCs w:val="24"/>
        </w:rPr>
      </w:pPr>
      <w:r>
        <w:rPr>
          <w:rFonts w:hint="eastAsia" w:ascii="宋体" w:hAnsi="宋体" w:eastAsia="宋体"/>
          <w:sz w:val="24"/>
          <w:szCs w:val="24"/>
        </w:rPr>
        <w:t>5.竞得人逾期不签订或者拒绝签订出让合同的；</w:t>
      </w:r>
    </w:p>
    <w:p>
      <w:pPr>
        <w:spacing w:line="560" w:lineRule="exact"/>
        <w:ind w:firstLine="403"/>
        <w:jc w:val="left"/>
        <w:rPr>
          <w:rFonts w:ascii="宋体" w:hAnsi="宋体" w:eastAsia="宋体"/>
          <w:sz w:val="24"/>
          <w:szCs w:val="24"/>
        </w:rPr>
      </w:pPr>
      <w:r>
        <w:rPr>
          <w:rFonts w:hint="eastAsia" w:ascii="宋体" w:hAnsi="宋体" w:eastAsia="宋体"/>
          <w:sz w:val="24"/>
          <w:szCs w:val="24"/>
        </w:rPr>
        <w:t>6.其他依法应当认定为违约的情形。</w:t>
      </w:r>
    </w:p>
    <w:p>
      <w:pPr>
        <w:spacing w:line="600" w:lineRule="exact"/>
        <w:ind w:left="420"/>
        <w:jc w:val="left"/>
        <w:rPr>
          <w:rFonts w:ascii="宋体" w:hAnsi="宋体" w:eastAsia="宋体"/>
          <w:b/>
          <w:sz w:val="24"/>
          <w:szCs w:val="24"/>
        </w:rPr>
      </w:pPr>
      <w:r>
        <w:rPr>
          <w:rFonts w:hint="eastAsia" w:ascii="宋体" w:hAnsi="宋体" w:eastAsia="宋体"/>
          <w:b/>
          <w:sz w:val="24"/>
          <w:szCs w:val="24"/>
        </w:rPr>
        <w:t>八、出让合同签订事宜说明</w:t>
      </w:r>
    </w:p>
    <w:p>
      <w:pPr>
        <w:spacing w:line="560" w:lineRule="exact"/>
        <w:ind w:firstLine="403"/>
        <w:jc w:val="left"/>
        <w:rPr>
          <w:rFonts w:ascii="宋体" w:hAnsi="宋体" w:eastAsia="宋体"/>
          <w:sz w:val="24"/>
          <w:szCs w:val="24"/>
        </w:rPr>
      </w:pPr>
      <w:r>
        <w:rPr>
          <w:rFonts w:hint="eastAsia" w:ascii="宋体" w:hAnsi="宋体" w:eastAsia="宋体"/>
          <w:sz w:val="24"/>
          <w:szCs w:val="24"/>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560" w:lineRule="exact"/>
        <w:ind w:firstLine="403"/>
        <w:jc w:val="left"/>
        <w:rPr>
          <w:rFonts w:ascii="宋体" w:hAnsi="宋体" w:eastAsia="宋体"/>
          <w:sz w:val="24"/>
          <w:szCs w:val="24"/>
        </w:rPr>
      </w:pPr>
      <w:r>
        <w:rPr>
          <w:rFonts w:hint="eastAsia" w:ascii="宋体" w:hAnsi="宋体" w:eastAsia="宋体"/>
          <w:sz w:val="24"/>
          <w:szCs w:val="24"/>
        </w:rPr>
        <w:t>1.采矿权出让合同签订申请书（原件1份）；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2.采矿权成交确认书（复印件1份）；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3.工商营业执照副本（复印件1份）；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4.法人身份证明（复印件1份）；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5.法人不能亲自办理的应提供《授权委托书》（原件1份）；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6.受托人身份证明（复印件1份）；</w:t>
      </w:r>
    </w:p>
    <w:p>
      <w:pPr>
        <w:spacing w:line="560" w:lineRule="exact"/>
        <w:ind w:firstLine="403"/>
        <w:jc w:val="left"/>
        <w:rPr>
          <w:rFonts w:ascii="宋体" w:hAnsi="宋体" w:eastAsia="宋体"/>
          <w:sz w:val="24"/>
          <w:szCs w:val="24"/>
        </w:rPr>
      </w:pPr>
      <w:r>
        <w:rPr>
          <w:rFonts w:hint="eastAsia" w:ascii="宋体" w:hAnsi="宋体" w:eastAsia="宋体"/>
          <w:sz w:val="24"/>
          <w:szCs w:val="24"/>
        </w:rPr>
        <w:t>7.按照成交结果完善的《重庆市采矿权出让合同》签章件6份（原件）。</w:t>
      </w:r>
    </w:p>
    <w:p>
      <w:pPr>
        <w:spacing w:line="600" w:lineRule="exact"/>
        <w:ind w:left="420"/>
        <w:jc w:val="left"/>
        <w:rPr>
          <w:rFonts w:ascii="宋体" w:hAnsi="宋体" w:eastAsia="宋体"/>
          <w:b/>
          <w:sz w:val="24"/>
          <w:szCs w:val="24"/>
        </w:rPr>
      </w:pPr>
      <w:r>
        <w:rPr>
          <w:rFonts w:hint="eastAsia" w:ascii="宋体" w:hAnsi="宋体" w:eastAsia="宋体"/>
          <w:b/>
          <w:sz w:val="24"/>
          <w:szCs w:val="24"/>
        </w:rPr>
        <w:t>九、对交易矿业权异议的处理方式</w:t>
      </w:r>
    </w:p>
    <w:p>
      <w:pPr>
        <w:spacing w:line="560" w:lineRule="exact"/>
        <w:ind w:firstLine="403"/>
        <w:jc w:val="left"/>
        <w:rPr>
          <w:rFonts w:ascii="宋体" w:hAnsi="宋体" w:eastAsia="宋体"/>
          <w:sz w:val="24"/>
          <w:szCs w:val="24"/>
        </w:rPr>
      </w:pPr>
      <w:r>
        <w:rPr>
          <w:rFonts w:hint="eastAsia" w:ascii="宋体" w:hAnsi="宋体" w:eastAsia="宋体"/>
          <w:sz w:val="24"/>
          <w:szCs w:val="24"/>
        </w:rPr>
        <w:t>对本次出让的采矿权存有异议的，应在公示期截止前以书面方式向重庆市合川区规划和自然资源局提出；对出让交易程序存有异议的，应在结果公示期截止前以书面方式向重庆市合川区公共资源交易中心提出。根据所提异议的具体情况，按照《矿业权出让交易规则》等相关规定进行妥善处置。</w:t>
      </w:r>
    </w:p>
    <w:p>
      <w:pPr>
        <w:spacing w:line="600" w:lineRule="exact"/>
        <w:ind w:left="420"/>
        <w:jc w:val="left"/>
        <w:rPr>
          <w:rFonts w:ascii="宋体" w:hAnsi="宋体" w:eastAsia="宋体"/>
          <w:b/>
          <w:sz w:val="24"/>
          <w:szCs w:val="24"/>
        </w:rPr>
      </w:pPr>
      <w:r>
        <w:rPr>
          <w:rFonts w:hint="eastAsia" w:ascii="宋体" w:hAnsi="宋体" w:eastAsia="宋体"/>
          <w:b/>
          <w:sz w:val="24"/>
          <w:szCs w:val="24"/>
        </w:rPr>
        <w:t>十、其他重要提示</w:t>
      </w:r>
    </w:p>
    <w:p>
      <w:pPr>
        <w:spacing w:line="500" w:lineRule="exact"/>
        <w:ind w:firstLine="459"/>
        <w:rPr>
          <w:rFonts w:ascii="宋体" w:hAnsi="宋体" w:eastAsia="宋体"/>
          <w:sz w:val="24"/>
          <w:szCs w:val="24"/>
        </w:rPr>
      </w:pPr>
      <w:r>
        <w:rPr>
          <w:rFonts w:hint="eastAsia" w:ascii="宋体" w:hAnsi="宋体" w:eastAsia="宋体"/>
          <w:sz w:val="24"/>
          <w:szCs w:val="24"/>
        </w:rPr>
        <w:t>（一）本次公告序号HCGC202401采矿权为重庆市樾峰矿业有限公司建筑石料用灰岩矿西北侧条带状孤立山背脊矿段石灰岩矿资源，系按照重庆</w:t>
      </w:r>
      <w:r>
        <w:rPr>
          <w:rFonts w:hint="eastAsia" w:ascii="宋体" w:hAnsi="宋体" w:eastAsia="宋体" w:cs="Times New Roman"/>
          <w:sz w:val="24"/>
          <w:szCs w:val="24"/>
        </w:rPr>
        <w:t>市规划自然资源局、</w:t>
      </w:r>
      <w:r>
        <w:rPr>
          <w:rFonts w:hint="eastAsia" w:ascii="宋体" w:hAnsi="宋体" w:eastAsia="宋体"/>
          <w:sz w:val="24"/>
          <w:szCs w:val="24"/>
        </w:rPr>
        <w:t>重庆</w:t>
      </w:r>
      <w:r>
        <w:rPr>
          <w:rFonts w:hint="eastAsia" w:ascii="宋体" w:hAnsi="宋体" w:eastAsia="宋体" w:cs="Times New Roman"/>
          <w:sz w:val="24"/>
          <w:szCs w:val="24"/>
        </w:rPr>
        <w:t>市应急局联合印发《关于进一步规范露天矿山矿区范围划定和安全开采监管的指导意见》（渝规资〔2023〕436号）</w:t>
      </w:r>
      <w:r>
        <w:rPr>
          <w:rFonts w:hint="eastAsia" w:ascii="宋体" w:hAnsi="宋体" w:eastAsia="宋体"/>
          <w:sz w:val="24"/>
          <w:szCs w:val="24"/>
        </w:rPr>
        <w:t>有关规定，合法处置重庆市樾峰矿业有限公司建筑石料用灰岩矿西北侧高边坡安全隐患遗留问题，竞得人须按照经重庆市合川区应急局审核同意的</w:t>
      </w:r>
      <w:r>
        <w:rPr>
          <w:rFonts w:hint="eastAsia" w:ascii="宋体" w:hAnsi="宋体" w:eastAsia="宋体" w:cs="Times New Roman"/>
          <w:sz w:val="24"/>
          <w:szCs w:val="24"/>
        </w:rPr>
        <w:t>《重庆市樾峰矿业有限公司建筑石料用灰岩矿西北侧条带状孤山背脊安全隐患治理方案》</w:t>
      </w:r>
      <w:r>
        <w:rPr>
          <w:rFonts w:hint="eastAsia" w:ascii="宋体" w:hAnsi="宋体" w:eastAsia="宋体"/>
          <w:sz w:val="24"/>
          <w:szCs w:val="24"/>
        </w:rPr>
        <w:t>规范实施开采，并接受相关部门监管。该采矿权出让资源量为110.9万吨，由于采矿权开采边界与重庆市樾峰矿业有限公司建筑石料用灰岩矿西北侧边坡连接，需要与该矿边坡资源实施综合开采，竞得人应在合同签订前自行与该矿达成友好协作，充分保障双方的矿产资源开采合法权益。如协商无法达成一致意见，则该宗采矿权按不成交处理，退还竞买保证金，不计利息，出让人有权重新出让该宗采矿权。</w:t>
      </w:r>
    </w:p>
    <w:p>
      <w:pPr>
        <w:spacing w:line="500" w:lineRule="exact"/>
        <w:ind w:firstLine="459"/>
        <w:rPr>
          <w:rFonts w:ascii="宋体" w:hAnsi="宋体" w:eastAsia="宋体"/>
          <w:sz w:val="24"/>
          <w:szCs w:val="24"/>
        </w:rPr>
      </w:pPr>
      <w:r>
        <w:rPr>
          <w:rFonts w:hint="eastAsia" w:ascii="宋体" w:hAnsi="宋体" w:eastAsia="宋体"/>
          <w:sz w:val="24"/>
          <w:szCs w:val="24"/>
        </w:rPr>
        <w:t>（二）竞得人须自行或委托第三方编制矿山地质环境保护和土地复垦方案并通过审查，同时按照《矿山地质环境保护规定》等相关规定履行矿山地质环境保护相关义务。</w:t>
      </w:r>
    </w:p>
    <w:p>
      <w:pPr>
        <w:spacing w:line="500" w:lineRule="exact"/>
        <w:ind w:firstLine="459"/>
        <w:rPr>
          <w:rFonts w:ascii="宋体" w:hAnsi="宋体" w:eastAsia="宋体"/>
          <w:sz w:val="24"/>
          <w:szCs w:val="24"/>
        </w:rPr>
      </w:pPr>
      <w:r>
        <w:rPr>
          <w:rFonts w:hint="eastAsia" w:ascii="宋体" w:hAnsi="宋体" w:eastAsia="宋体"/>
          <w:sz w:val="24"/>
          <w:szCs w:val="24"/>
        </w:rPr>
        <w:t>（三）该宗采矿权已按“净矿”出让要求，对矿区范围土地流转、地面建（构）筑物搬（拆）迁补偿、道路设施建设等，以及原采矿权人投入成本分摊（含爆破安全范围土地房屋补偿等）进行了合理处置，“净矿”费用共计8683746.8元，由竞得人于《重庆市采矿权出让合同》签订前支付至出让方指定账户（重庆合川交通设备制造产业发展有限公司，开户行：邮政银行合川分行，账号：950002010012338890），相关税费由竞得人自行承担，逾期未缴纳相关费用的，视为竞得人自动放弃采矿权，不退还竞买保证金。竞买申请人须认真详读出让文件，了解“净矿”处置情况，包括且不限于资料查询、现场踏勘等。提交竞买申请即视为竞买人对采矿权现状、出让文件、采矿权出让合同内容、“净矿”处置及其他权益补偿额已完全认可并自愿承担所有风险。</w:t>
      </w:r>
    </w:p>
    <w:p>
      <w:pPr>
        <w:spacing w:line="560" w:lineRule="exact"/>
        <w:ind w:firstLine="403"/>
        <w:jc w:val="left"/>
        <w:rPr>
          <w:rFonts w:ascii="宋体" w:hAnsi="宋体" w:eastAsia="宋体"/>
          <w:sz w:val="24"/>
          <w:szCs w:val="24"/>
        </w:rPr>
      </w:pPr>
      <w:r>
        <w:rPr>
          <w:rFonts w:hint="eastAsia" w:ascii="宋体" w:hAnsi="宋体" w:eastAsia="宋体"/>
          <w:sz w:val="24"/>
          <w:szCs w:val="24"/>
        </w:rPr>
        <w:t>附件一：《竞买申请书》（模板）</w:t>
      </w:r>
    </w:p>
    <w:p>
      <w:pPr>
        <w:spacing w:line="560" w:lineRule="exact"/>
        <w:ind w:firstLine="403"/>
        <w:jc w:val="left"/>
        <w:rPr>
          <w:rFonts w:ascii="宋体" w:hAnsi="宋体" w:eastAsia="宋体"/>
          <w:sz w:val="24"/>
          <w:szCs w:val="24"/>
        </w:rPr>
      </w:pPr>
      <w:r>
        <w:rPr>
          <w:rFonts w:hint="eastAsia" w:ascii="宋体" w:hAnsi="宋体" w:eastAsia="宋体"/>
          <w:sz w:val="24"/>
          <w:szCs w:val="24"/>
        </w:rPr>
        <w:t>附件二：《授权委托书》（模板）</w:t>
      </w:r>
    </w:p>
    <w:p>
      <w:pPr>
        <w:spacing w:line="560" w:lineRule="exact"/>
        <w:ind w:firstLine="403"/>
        <w:jc w:val="left"/>
        <w:rPr>
          <w:rFonts w:ascii="宋体" w:hAnsi="宋体" w:eastAsia="宋体"/>
          <w:sz w:val="24"/>
          <w:szCs w:val="24"/>
        </w:rPr>
      </w:pPr>
      <w:r>
        <w:rPr>
          <w:rFonts w:hint="eastAsia" w:ascii="宋体" w:hAnsi="宋体" w:eastAsia="宋体"/>
          <w:sz w:val="24"/>
          <w:szCs w:val="24"/>
        </w:rPr>
        <w:t>附件三：《重庆市采矿权出让合同》（模板）</w:t>
      </w:r>
    </w:p>
    <w:p>
      <w:pPr>
        <w:spacing w:line="560" w:lineRule="exact"/>
        <w:ind w:firstLine="403"/>
        <w:jc w:val="left"/>
        <w:rPr>
          <w:rFonts w:ascii="宋体" w:hAnsi="宋体" w:eastAsia="宋体"/>
          <w:sz w:val="24"/>
          <w:szCs w:val="24"/>
        </w:rPr>
      </w:pPr>
      <w:r>
        <w:rPr>
          <w:rFonts w:hint="eastAsia" w:ascii="宋体" w:hAnsi="宋体" w:eastAsia="宋体"/>
          <w:sz w:val="24"/>
          <w:szCs w:val="24"/>
        </w:rPr>
        <w:t>附件四：《采矿权成交确认书》（模板）</w:t>
      </w:r>
    </w:p>
    <w:p>
      <w:pPr>
        <w:spacing w:line="560" w:lineRule="exact"/>
        <w:ind w:firstLine="403"/>
        <w:jc w:val="left"/>
        <w:rPr>
          <w:rFonts w:ascii="宋体" w:hAnsi="宋体" w:eastAsia="宋体"/>
          <w:sz w:val="24"/>
          <w:szCs w:val="24"/>
        </w:rPr>
      </w:pPr>
      <w:r>
        <w:rPr>
          <w:rFonts w:hint="eastAsia" w:ascii="宋体" w:hAnsi="宋体" w:eastAsia="宋体"/>
          <w:sz w:val="24"/>
          <w:szCs w:val="24"/>
        </w:rPr>
        <w:t>附件五：《评估报告》（渝国能评价字（2024）第005号）结论</w:t>
      </w:r>
    </w:p>
    <w:p>
      <w:pPr>
        <w:spacing w:line="560" w:lineRule="exact"/>
        <w:ind w:left="40" w:leftChars="19" w:firstLine="7380" w:firstLineChars="3075"/>
        <w:rPr>
          <w:rFonts w:ascii="宋体" w:hAnsi="宋体" w:eastAsia="宋体"/>
          <w:sz w:val="24"/>
          <w:szCs w:val="24"/>
        </w:rPr>
      </w:pPr>
      <w:r>
        <w:rPr>
          <w:rFonts w:hint="eastAsia" w:ascii="宋体" w:hAnsi="宋体" w:eastAsia="宋体"/>
          <w:sz w:val="24"/>
          <w:szCs w:val="24"/>
        </w:rPr>
        <w:t>年   月   日</w:t>
      </w:r>
    </w:p>
    <w:p>
      <w:pPr>
        <w:spacing w:line="560" w:lineRule="exact"/>
        <w:rPr>
          <w:rFonts w:ascii="宋体" w:hAnsi="宋体" w:eastAsia="宋体"/>
          <w:sz w:val="24"/>
          <w:szCs w:val="24"/>
        </w:rPr>
      </w:pPr>
    </w:p>
    <w:p>
      <w:pPr>
        <w:spacing w:line="560" w:lineRule="exact"/>
        <w:rPr>
          <w:rFonts w:ascii="宋体" w:hAnsi="宋体" w:eastAsia="宋体"/>
          <w:sz w:val="24"/>
          <w:szCs w:val="24"/>
        </w:rPr>
      </w:pPr>
    </w:p>
    <w:p>
      <w:pPr>
        <w:spacing w:line="560" w:lineRule="exact"/>
        <w:rPr>
          <w:rFonts w:ascii="宋体" w:hAnsi="宋体" w:eastAsia="宋体"/>
          <w:sz w:val="24"/>
          <w:szCs w:val="24"/>
        </w:rPr>
      </w:pPr>
    </w:p>
    <w:p>
      <w:pPr>
        <w:spacing w:line="560" w:lineRule="exact"/>
        <w:ind w:left="40" w:leftChars="19" w:firstLine="7140" w:firstLineChars="2975"/>
        <w:rPr>
          <w:rFonts w:ascii="宋体" w:hAnsi="宋体" w:eastAsia="宋体"/>
          <w:sz w:val="24"/>
          <w:szCs w:val="24"/>
        </w:rPr>
      </w:pPr>
    </w:p>
    <w:p>
      <w:pPr>
        <w:spacing w:after="680" w:line="560" w:lineRule="exact"/>
        <w:jc w:val="left"/>
        <w:rPr>
          <w:rFonts w:ascii="宋体" w:hAnsi="宋体" w:eastAsia="宋体"/>
          <w:sz w:val="24"/>
          <w:szCs w:val="24"/>
        </w:rPr>
      </w:pPr>
      <w:r>
        <w:rPr>
          <w:rFonts w:ascii="宋体" w:hAnsi="宋体" w:eastAsia="宋体"/>
          <w:sz w:val="24"/>
          <w:szCs w:val="24"/>
        </w:rPr>
        <w:pict>
          <v:shape id="_x0000_s1026" o:spid="_x0000_s1026" o:spt="202" type="#_x0000_t202" style="position:absolute;left:0pt;margin-left:6pt;margin-top:0.2pt;height:229.2pt;width:472.3pt;z-index:251659264;mso-width-relative:page;mso-height-relative:page;" coordsize="21600,21600" o:gfxdata="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SVe7dQAAAAHAQAADwAAAAAAAAABACAAAAAiAAAAZHJzL2Rvd25yZXYueG1sUEsBAhQAFAAAAAgA&#10;h07iQELK+vpiAgAAxgQAAA4AAAAAAAAAAQAgAAAAIwEAAGRycy9lMm9Eb2MueG1sUEsFBgAAAAAG&#10;AAYAWQEAAPcFAAAAAA==&#10;">
            <v:path/>
            <v:fill focussize="0,0"/>
            <v:stroke weight="0.5pt" joinstyle="round"/>
            <v:imagedata o:title=""/>
            <o:lock v:ext="edit"/>
            <v:textbo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p>
                <w:p>
                  <w:pPr>
                    <w:spacing w:line="560" w:lineRule="exact"/>
                    <w:ind w:left="40" w:leftChars="19" w:firstLine="3136" w:firstLineChars="1307"/>
                    <w:rPr>
                      <w:rFonts w:ascii="宋体" w:hAnsi="宋体" w:eastAsia="宋体"/>
                      <w:color w:val="000000"/>
                      <w:sz w:val="24"/>
                      <w:szCs w:val="24"/>
                    </w:rPr>
                  </w:pPr>
                  <w:r>
                    <w:rPr>
                      <w:rFonts w:hint="eastAsia" w:ascii="宋体" w:hAnsi="宋体" w:eastAsia="宋体"/>
                      <w:color w:val="000000"/>
                      <w:sz w:val="24"/>
                      <w:szCs w:val="24"/>
                    </w:rPr>
                    <w:t>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sz w:val="24"/>
                      <w:szCs w:val="24"/>
                    </w:rPr>
                  </w:pPr>
                  <w:r>
                    <w:rPr>
                      <w:rFonts w:hint="eastAsia" w:ascii="宋体" w:hAnsi="宋体" w:eastAsia="宋体"/>
                      <w:sz w:val="24"/>
                      <w:szCs w:val="24"/>
                    </w:rPr>
                    <w:t>2024年  月  日</w:t>
                  </w:r>
                </w:p>
                <w:p/>
              </w:txbxContent>
            </v:textbox>
          </v:shape>
        </w:pict>
      </w:r>
    </w:p>
    <w:sectPr>
      <w:type w:val="continuous"/>
      <w:pgSz w:w="11520" w:h="16840"/>
      <w:pgMar w:top="720" w:right="720" w:bottom="1440" w:left="120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184A8"/>
    <w:multiLevelType w:val="singleLevel"/>
    <w:tmpl w:val="A74184A8"/>
    <w:lvl w:ilvl="0" w:tentative="0">
      <w:start w:val="5"/>
      <w:numFmt w:val="chineseCounting"/>
      <w:suff w:val="nothing"/>
      <w:lvlText w:val="%1、"/>
      <w:lvlJc w:val="left"/>
      <w:pPr>
        <w:ind w:left="-20"/>
      </w:pPr>
      <w:rPr>
        <w:rFonts w:hint="eastAsia"/>
      </w:rPr>
    </w:lvl>
  </w:abstractNum>
  <w:abstractNum w:abstractNumId="1">
    <w:nsid w:val="2C319E92"/>
    <w:multiLevelType w:val="singleLevel"/>
    <w:tmpl w:val="2C319E92"/>
    <w:lvl w:ilvl="0" w:tentative="0">
      <w:start w:val="2"/>
      <w:numFmt w:val="chineseCounting"/>
      <w:suff w:val="nothing"/>
      <w:lvlText w:val="（%1）"/>
      <w:lvlJc w:val="left"/>
      <w:rPr>
        <w:rFonts w:hint="eastAsia"/>
      </w:rPr>
    </w:lvl>
  </w:abstractNum>
  <w:abstractNum w:abstractNumId="2">
    <w:nsid w:val="3CC32B28"/>
    <w:multiLevelType w:val="singleLevel"/>
    <w:tmpl w:val="3CC32B28"/>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0BC8"/>
    <w:rsid w:val="0008073A"/>
    <w:rsid w:val="00081D96"/>
    <w:rsid w:val="000D46BF"/>
    <w:rsid w:val="000D6051"/>
    <w:rsid w:val="0017675E"/>
    <w:rsid w:val="001957FA"/>
    <w:rsid w:val="001F607C"/>
    <w:rsid w:val="00253615"/>
    <w:rsid w:val="002715F7"/>
    <w:rsid w:val="002753F8"/>
    <w:rsid w:val="0029549B"/>
    <w:rsid w:val="0030447B"/>
    <w:rsid w:val="00344F89"/>
    <w:rsid w:val="00346A8A"/>
    <w:rsid w:val="00352852"/>
    <w:rsid w:val="00382BD2"/>
    <w:rsid w:val="00397072"/>
    <w:rsid w:val="003E33B7"/>
    <w:rsid w:val="003F4EEC"/>
    <w:rsid w:val="0042158B"/>
    <w:rsid w:val="0044628C"/>
    <w:rsid w:val="004555B1"/>
    <w:rsid w:val="00481290"/>
    <w:rsid w:val="00481B8B"/>
    <w:rsid w:val="00536E6A"/>
    <w:rsid w:val="00550E1E"/>
    <w:rsid w:val="00586B07"/>
    <w:rsid w:val="005D67A9"/>
    <w:rsid w:val="006116EF"/>
    <w:rsid w:val="00626D31"/>
    <w:rsid w:val="006B590B"/>
    <w:rsid w:val="006E1899"/>
    <w:rsid w:val="00721AF9"/>
    <w:rsid w:val="007516DE"/>
    <w:rsid w:val="00753ECA"/>
    <w:rsid w:val="008C5036"/>
    <w:rsid w:val="0090120D"/>
    <w:rsid w:val="009822A9"/>
    <w:rsid w:val="0099263F"/>
    <w:rsid w:val="009F0BE0"/>
    <w:rsid w:val="00A304C7"/>
    <w:rsid w:val="00A61933"/>
    <w:rsid w:val="00B941C9"/>
    <w:rsid w:val="00BA6D97"/>
    <w:rsid w:val="00BD0BC8"/>
    <w:rsid w:val="00C57CD7"/>
    <w:rsid w:val="00CE2003"/>
    <w:rsid w:val="00CE3886"/>
    <w:rsid w:val="00D00E94"/>
    <w:rsid w:val="00D348EC"/>
    <w:rsid w:val="00D71EFE"/>
    <w:rsid w:val="00DC1B3A"/>
    <w:rsid w:val="00E04831"/>
    <w:rsid w:val="00E32BDE"/>
    <w:rsid w:val="00ED7790"/>
    <w:rsid w:val="00EE584F"/>
    <w:rsid w:val="00F07061"/>
    <w:rsid w:val="00F11DB2"/>
    <w:rsid w:val="00F22227"/>
    <w:rsid w:val="00F25DCB"/>
    <w:rsid w:val="00F90541"/>
    <w:rsid w:val="00FA1CE6"/>
    <w:rsid w:val="00FC0260"/>
    <w:rsid w:val="00FC616A"/>
    <w:rsid w:val="015D28CD"/>
    <w:rsid w:val="03062FFA"/>
    <w:rsid w:val="087F1DEC"/>
    <w:rsid w:val="0B2F3E95"/>
    <w:rsid w:val="0C6D0671"/>
    <w:rsid w:val="13860D94"/>
    <w:rsid w:val="151B46AD"/>
    <w:rsid w:val="161B2052"/>
    <w:rsid w:val="178B572B"/>
    <w:rsid w:val="17B54EB8"/>
    <w:rsid w:val="186F4AA4"/>
    <w:rsid w:val="1B6C0C0A"/>
    <w:rsid w:val="1B6F2CBA"/>
    <w:rsid w:val="1DA40476"/>
    <w:rsid w:val="254D1C4E"/>
    <w:rsid w:val="269A5064"/>
    <w:rsid w:val="272B0403"/>
    <w:rsid w:val="27723A43"/>
    <w:rsid w:val="282B6467"/>
    <w:rsid w:val="2A5954CE"/>
    <w:rsid w:val="30206102"/>
    <w:rsid w:val="317729BC"/>
    <w:rsid w:val="34E77D57"/>
    <w:rsid w:val="37005E48"/>
    <w:rsid w:val="3B9C505F"/>
    <w:rsid w:val="47C7180C"/>
    <w:rsid w:val="4A6771D4"/>
    <w:rsid w:val="4D9E1AAF"/>
    <w:rsid w:val="53E11A82"/>
    <w:rsid w:val="550D2817"/>
    <w:rsid w:val="55A422EA"/>
    <w:rsid w:val="58D94506"/>
    <w:rsid w:val="5C1A5F4A"/>
    <w:rsid w:val="5CA714E4"/>
    <w:rsid w:val="61DD21EC"/>
    <w:rsid w:val="66047F48"/>
    <w:rsid w:val="68991C29"/>
    <w:rsid w:val="69832727"/>
    <w:rsid w:val="69CC398C"/>
    <w:rsid w:val="6B1D25C0"/>
    <w:rsid w:val="6E297222"/>
    <w:rsid w:val="6F6A2DF4"/>
    <w:rsid w:val="727A46C8"/>
    <w:rsid w:val="72EF7FCD"/>
    <w:rsid w:val="72F07E08"/>
    <w:rsid w:val="73A06A55"/>
    <w:rsid w:val="7999518A"/>
    <w:rsid w:val="79DE242E"/>
    <w:rsid w:val="7C5E6C17"/>
    <w:rsid w:val="7C890FE1"/>
    <w:rsid w:val="7DA540BA"/>
    <w:rsid w:val="7F2B42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3"/>
    <w:next w:val="5"/>
    <w:link w:val="13"/>
    <w:unhideWhenUsed/>
    <w:qFormat/>
    <w:uiPriority w:val="99"/>
    <w:pPr>
      <w:tabs>
        <w:tab w:val="center" w:pos="4153"/>
        <w:tab w:val="right" w:pos="8306"/>
      </w:tabs>
      <w:snapToGrid w:val="0"/>
      <w:jc w:val="left"/>
    </w:pPr>
  </w:style>
  <w:style w:type="paragraph" w:customStyle="1" w:styleId="3">
    <w:name w:val="正文1"/>
    <w:basedOn w:val="4"/>
    <w:qFormat/>
    <w:uiPriority w:val="0"/>
    <w:pPr>
      <w:spacing w:line="500" w:lineRule="exact"/>
    </w:pPr>
    <w:rPr>
      <w:rFonts w:ascii="仿宋_GB2312" w:hAnsi="宋体"/>
      <w:color w:val="0000FF"/>
      <w:sz w:val="18"/>
      <w:szCs w:val="18"/>
    </w:rPr>
  </w:style>
  <w:style w:type="paragraph" w:styleId="4">
    <w:name w:val="Body Text Indent"/>
    <w:basedOn w:val="1"/>
    <w:qFormat/>
    <w:uiPriority w:val="0"/>
    <w:pPr>
      <w:ind w:firstLine="900"/>
    </w:pPr>
    <w:rPr>
      <w:rFonts w:eastAsia="仿宋_GB2312" w:cs="Times New Roman"/>
      <w:bCs/>
      <w:kern w:val="0"/>
      <w:sz w:val="28"/>
    </w:rPr>
  </w:style>
  <w:style w:type="paragraph" w:customStyle="1" w:styleId="5">
    <w:name w:val="报告正文"/>
    <w:basedOn w:val="6"/>
    <w:qFormat/>
    <w:uiPriority w:val="0"/>
    <w:pPr>
      <w:spacing w:line="500" w:lineRule="exact"/>
      <w:ind w:firstLine="520"/>
    </w:pPr>
    <w:rPr>
      <w:color w:val="000000"/>
      <w:spacing w:val="10"/>
      <w:kern w:val="0"/>
      <w:szCs w:val="20"/>
    </w:rPr>
  </w:style>
  <w:style w:type="paragraph" w:styleId="6">
    <w:name w:val="Body Text First Indent"/>
    <w:basedOn w:val="7"/>
    <w:unhideWhenUsed/>
    <w:qFormat/>
    <w:uiPriority w:val="99"/>
    <w:pPr>
      <w:ind w:firstLine="420" w:firstLineChars="100"/>
    </w:pPr>
  </w:style>
  <w:style w:type="paragraph" w:styleId="7">
    <w:name w:val="Body Text"/>
    <w:basedOn w:val="1"/>
    <w:qFormat/>
    <w:uiPriority w:val="0"/>
    <w:pPr>
      <w:spacing w:after="120"/>
    </w:pPr>
    <w:rPr>
      <w:rFonts w:cs="Times New Roman"/>
    </w:rPr>
  </w:style>
  <w:style w:type="paragraph" w:styleId="8">
    <w:name w:val="Balloon Text"/>
    <w:basedOn w:val="1"/>
    <w:link w:val="14"/>
    <w:semiHidden/>
    <w:unhideWhenUsed/>
    <w:qFormat/>
    <w:uiPriority w:val="99"/>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字符"/>
    <w:basedOn w:val="11"/>
    <w:link w:val="9"/>
    <w:qFormat/>
    <w:uiPriority w:val="99"/>
    <w:rPr>
      <w:sz w:val="18"/>
      <w:szCs w:val="18"/>
    </w:rPr>
  </w:style>
  <w:style w:type="character" w:customStyle="1" w:styleId="13">
    <w:name w:val="页脚 字符"/>
    <w:basedOn w:val="11"/>
    <w:link w:val="2"/>
    <w:qFormat/>
    <w:uiPriority w:val="99"/>
    <w:rPr>
      <w:sz w:val="18"/>
      <w:szCs w:val="18"/>
    </w:rPr>
  </w:style>
  <w:style w:type="character" w:customStyle="1" w:styleId="14">
    <w:name w:val="批注框文本 字符"/>
    <w:basedOn w:val="11"/>
    <w:link w:val="8"/>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9DCC6A-DC6B-4F04-989C-96BE03C9D53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653</Words>
  <Characters>3724</Characters>
  <Lines>31</Lines>
  <Paragraphs>8</Paragraphs>
  <TotalTime>2</TotalTime>
  <ScaleCrop>false</ScaleCrop>
  <LinksUpToDate>false</LinksUpToDate>
  <CharactersWithSpaces>4369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2023-01-30T01:31:00Z</dcterms:created>
  <dc:creator>INTSIG</dc:creator>
  <dc:description>Intsig Word Converter</dc:description>
  <cp:lastModifiedBy>赵国华</cp:lastModifiedBy>
  <cp:lastPrinted>2023-05-04T07:05:00Z</cp:lastPrinted>
  <dcterms:modified xsi:type="dcterms:W3CDTF">2024-02-06T01:14:08Z</dcterms:modified>
  <dc:title>wordbuilder</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38DA40AF9EDB4B8D8DC40EE37001874C</vt:lpwstr>
  </property>
</Properties>
</file>