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重庆市南川区水江镇劳动居委地热水勘查探矿权</w:t>
      </w:r>
      <w:r>
        <w:rPr>
          <w:rFonts w:hint="eastAsia" w:ascii="Times New Roman" w:hAnsi="Times New Roman" w:eastAsia="黑体" w:cs="Times New Roman"/>
          <w:sz w:val="40"/>
          <w:szCs w:val="40"/>
          <w:lang w:val="en-US" w:eastAsia="zh-CN"/>
        </w:rPr>
        <w:t>挂牌</w:t>
      </w:r>
      <w:r>
        <w:rPr>
          <w:rFonts w:hint="eastAsia"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渝矿探出字〔2024〕（南川）1号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根据国家和重庆市的相关规定，重庆市南川区规划和自然资源局决定公开挂牌出让以下探矿权，并委托重庆市南川区公共资源综合交易中心负责公开出让交易环节的组织实施。现将有关事项公告如下：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hint="eastAsia" w:ascii="Times New Roman" w:hAnsi="Times New Roman" w:cs="Times New Roman"/>
          <w:sz w:val="24"/>
          <w:szCs w:val="24"/>
        </w:rPr>
        <w:t>本次公告同步发布的网站：中华人民共和国自然资源部</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https://www.mnr.gov.cn/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、重庆市规划和自然资源局网站</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http://ghzrzyj.cq.gov.cn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https://www.cqggzy.com/nanchuanweb/</w:t>
      </w:r>
      <w:r>
        <w:rPr>
          <w:rFonts w:hint="eastAsia"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一、基本情况</w:t>
      </w:r>
    </w:p>
    <w:tbl>
      <w:tblPr>
        <w:tblStyle w:val="5"/>
        <w:tblpPr w:leftFromText="180" w:rightFromText="180" w:vertAnchor="text" w:horzAnchor="margin" w:tblpXSpec="center" w:tblpY="4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26"/>
        <w:gridCol w:w="1501"/>
        <w:gridCol w:w="1217"/>
        <w:gridCol w:w="954"/>
        <w:gridCol w:w="12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公告序号</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探矿权名称</w:t>
            </w:r>
          </w:p>
          <w:p>
            <w:pPr>
              <w:jc w:val="center"/>
              <w:rPr>
                <w:rFonts w:ascii="Times New Roman" w:hAnsi="Times New Roman" w:cs="Times New Roman"/>
                <w:szCs w:val="21"/>
              </w:rPr>
            </w:pPr>
            <w:r>
              <w:rPr>
                <w:rFonts w:hint="eastAsia" w:ascii="Times New Roman" w:hAnsi="Times New Roman" w:cs="Times New Roman"/>
                <w:szCs w:val="21"/>
              </w:rPr>
              <w:t>（暂定名）</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地理</w:t>
            </w:r>
          </w:p>
          <w:p>
            <w:pPr>
              <w:jc w:val="center"/>
              <w:rPr>
                <w:rFonts w:ascii="Times New Roman" w:hAnsi="Times New Roman" w:cs="Times New Roman"/>
                <w:szCs w:val="21"/>
              </w:rPr>
            </w:pPr>
            <w:r>
              <w:rPr>
                <w:rFonts w:hint="eastAsia" w:ascii="Times New Roman" w:hAnsi="Times New Roman" w:cs="Times New Roman"/>
                <w:szCs w:val="21"/>
              </w:rPr>
              <w:t>位置</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勘查</w:t>
            </w:r>
          </w:p>
          <w:p>
            <w:pPr>
              <w:jc w:val="center"/>
              <w:rPr>
                <w:rFonts w:ascii="Times New Roman" w:hAnsi="Times New Roman" w:cs="Times New Roman"/>
                <w:szCs w:val="21"/>
              </w:rPr>
            </w:pPr>
            <w:r>
              <w:rPr>
                <w:rFonts w:hint="eastAsia" w:ascii="Times New Roman" w:hAnsi="Times New Roman" w:cs="Times New Roman"/>
                <w:szCs w:val="21"/>
              </w:rPr>
              <w:t>矿种</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勘查范围拐点坐标（</w:t>
            </w:r>
            <w:r>
              <w:rPr>
                <w:rFonts w:ascii="Times New Roman" w:hAnsi="Times New Roman" w:cs="Times New Roman"/>
                <w:szCs w:val="21"/>
              </w:rPr>
              <w:t>2000</w:t>
            </w:r>
            <w:r>
              <w:rPr>
                <w:rFonts w:hint="eastAsia" w:ascii="Times New Roman" w:hAnsi="Times New Roman" w:cs="Times New Roman"/>
                <w:szCs w:val="21"/>
              </w:rPr>
              <w:t>坐标系）</w:t>
            </w:r>
          </w:p>
        </w:tc>
        <w:tc>
          <w:tcPr>
            <w:tcW w:w="1501" w:type="dxa"/>
            <w:vAlign w:val="center"/>
          </w:tcPr>
          <w:p>
            <w:pPr>
              <w:jc w:val="center"/>
              <w:rPr>
                <w:rFonts w:ascii="Times New Roman" w:hAnsi="Times New Roman" w:cs="Times New Roman"/>
                <w:szCs w:val="21"/>
              </w:rPr>
            </w:pPr>
            <w:r>
              <w:rPr>
                <w:rFonts w:hint="eastAsia" w:ascii="Times New Roman" w:hAnsi="Times New Roman" w:cs="Times New Roman"/>
                <w:szCs w:val="21"/>
              </w:rPr>
              <w:t>勘查面积</w:t>
            </w:r>
          </w:p>
          <w:p>
            <w:pPr>
              <w:jc w:val="center"/>
              <w:rPr>
                <w:rFonts w:ascii="Times New Roman" w:hAnsi="Times New Roman" w:cs="Times New Roman"/>
                <w:szCs w:val="21"/>
              </w:rPr>
            </w:pPr>
            <w:r>
              <w:rPr>
                <w:rFonts w:hint="eastAsia" w:ascii="Times New Roman" w:hAnsi="Times New Roman" w:cs="Times New Roman"/>
                <w:szCs w:val="21"/>
              </w:rPr>
              <w:t>（平方公里）</w:t>
            </w:r>
          </w:p>
        </w:tc>
        <w:tc>
          <w:tcPr>
            <w:tcW w:w="1217" w:type="dxa"/>
            <w:vAlign w:val="center"/>
          </w:tcPr>
          <w:p>
            <w:pPr>
              <w:jc w:val="center"/>
              <w:rPr>
                <w:rFonts w:ascii="Times New Roman" w:hAnsi="Times New Roman" w:cs="Times New Roman"/>
                <w:szCs w:val="21"/>
              </w:rPr>
            </w:pPr>
            <w:r>
              <w:rPr>
                <w:rFonts w:hint="eastAsia" w:ascii="Times New Roman" w:hAnsi="Times New Roman" w:cs="Times New Roman"/>
                <w:szCs w:val="21"/>
              </w:rPr>
              <w:t>勘查阶段</w:t>
            </w:r>
          </w:p>
        </w:tc>
        <w:tc>
          <w:tcPr>
            <w:tcW w:w="954" w:type="dxa"/>
            <w:vAlign w:val="center"/>
          </w:tcPr>
          <w:p>
            <w:pPr>
              <w:jc w:val="center"/>
              <w:rPr>
                <w:rFonts w:ascii="Times New Roman" w:hAnsi="Times New Roman" w:cs="Times New Roman"/>
                <w:szCs w:val="21"/>
              </w:rPr>
            </w:pPr>
            <w:r>
              <w:rPr>
                <w:rFonts w:hint="eastAsia" w:ascii="Times New Roman" w:hAnsi="Times New Roman" w:cs="Times New Roman"/>
                <w:szCs w:val="21"/>
              </w:rPr>
              <w:t>出让</w:t>
            </w:r>
          </w:p>
          <w:p>
            <w:pPr>
              <w:jc w:val="center"/>
              <w:rPr>
                <w:rFonts w:ascii="Times New Roman" w:hAnsi="Times New Roman" w:cs="Times New Roman"/>
                <w:szCs w:val="21"/>
              </w:rPr>
            </w:pPr>
            <w:r>
              <w:rPr>
                <w:rFonts w:hint="eastAsia" w:ascii="Times New Roman" w:hAnsi="Times New Roman" w:cs="Times New Roman"/>
                <w:szCs w:val="21"/>
              </w:rPr>
              <w:t>年限（年）</w:t>
            </w:r>
          </w:p>
        </w:tc>
        <w:tc>
          <w:tcPr>
            <w:tcW w:w="1229" w:type="dxa"/>
            <w:vAlign w:val="center"/>
          </w:tcPr>
          <w:p>
            <w:pPr>
              <w:jc w:val="center"/>
              <w:rPr>
                <w:rFonts w:ascii="Times New Roman" w:hAnsi="Times New Roman" w:cs="Times New Roman"/>
                <w:szCs w:val="21"/>
              </w:rPr>
            </w:pPr>
            <w:r>
              <w:rPr>
                <w:rFonts w:hint="eastAsia" w:ascii="Times New Roman" w:hAnsi="Times New Roman" w:cs="Times New Roman"/>
                <w:szCs w:val="21"/>
              </w:rPr>
              <w:t>出让收益起始价</w:t>
            </w:r>
          </w:p>
          <w:p>
            <w:pPr>
              <w:jc w:val="center"/>
              <w:rPr>
                <w:rFonts w:ascii="Times New Roman" w:hAnsi="Times New Roman" w:cs="Times New Roman"/>
                <w:szCs w:val="21"/>
              </w:rPr>
            </w:pPr>
            <w:r>
              <w:rPr>
                <w:rFonts w:hint="eastAsia" w:ascii="Times New Roman" w:hAnsi="Times New Roman" w:cs="Times New Roman"/>
                <w:szCs w:val="21"/>
              </w:rPr>
              <w:t>（万元）</w:t>
            </w:r>
          </w:p>
        </w:tc>
        <w:tc>
          <w:tcPr>
            <w:tcW w:w="1336" w:type="dxa"/>
            <w:vAlign w:val="center"/>
          </w:tcPr>
          <w:p>
            <w:pPr>
              <w:jc w:val="center"/>
              <w:rPr>
                <w:rFonts w:ascii="Times New Roman" w:hAnsi="Times New Roman" w:cs="Times New Roman"/>
                <w:szCs w:val="21"/>
              </w:rPr>
            </w:pPr>
            <w:r>
              <w:rPr>
                <w:rFonts w:hint="eastAsia" w:ascii="Times New Roman" w:hAnsi="Times New Roman" w:cs="Times New Roman"/>
                <w:szCs w:val="21"/>
              </w:rPr>
              <w:t>保证金</w:t>
            </w:r>
          </w:p>
          <w:p>
            <w:pPr>
              <w:jc w:val="center"/>
              <w:rPr>
                <w:rFonts w:ascii="Times New Roman" w:hAnsi="Times New Roman" w:cs="Times New Roman"/>
                <w:szCs w:val="21"/>
              </w:rPr>
            </w:pPr>
            <w:r>
              <w:rPr>
                <w:rFonts w:hint="eastAsia" w:ascii="Times New Roman" w:hAnsi="Times New Roman" w:cs="Times New Roman"/>
                <w:szCs w:val="21"/>
              </w:rPr>
              <w:t>金额</w:t>
            </w:r>
          </w:p>
          <w:p>
            <w:pPr>
              <w:jc w:val="center"/>
              <w:rPr>
                <w:rFonts w:ascii="Times New Roman" w:hAnsi="Times New Roman" w:cs="Times New Roman"/>
                <w:szCs w:val="21"/>
              </w:rPr>
            </w:pPr>
            <w:r>
              <w:rPr>
                <w:rFonts w:hint="eastAsia"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NCGT202401</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重庆市南川区水江镇劳动居委地热水勘查</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重庆市南川区水江镇劳动居委</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地热水</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详见《出让文件》</w:t>
            </w:r>
          </w:p>
        </w:tc>
        <w:tc>
          <w:tcPr>
            <w:tcW w:w="1501" w:type="dxa"/>
            <w:vAlign w:val="center"/>
          </w:tcPr>
          <w:p>
            <w:pPr>
              <w:jc w:val="center"/>
              <w:rPr>
                <w:rFonts w:ascii="Times New Roman" w:hAnsi="Times New Roman" w:cs="Times New Roman"/>
                <w:szCs w:val="21"/>
              </w:rPr>
            </w:pPr>
            <w:r>
              <w:rPr>
                <w:rFonts w:hint="eastAsia" w:ascii="Times New Roman" w:hAnsi="Times New Roman"/>
                <w:szCs w:val="21"/>
              </w:rPr>
              <w:t>0.359</w:t>
            </w:r>
          </w:p>
        </w:tc>
        <w:tc>
          <w:tcPr>
            <w:tcW w:w="1217" w:type="dxa"/>
            <w:vAlign w:val="center"/>
          </w:tcPr>
          <w:p>
            <w:pPr>
              <w:jc w:val="center"/>
              <w:rPr>
                <w:rFonts w:ascii="Times New Roman" w:hAnsi="Times New Roman" w:cs="Times New Roman"/>
                <w:szCs w:val="21"/>
              </w:rPr>
            </w:pPr>
            <w:r>
              <w:rPr>
                <w:rFonts w:hint="eastAsia" w:ascii="Times New Roman" w:hAnsi="Times New Roman"/>
                <w:szCs w:val="21"/>
              </w:rPr>
              <w:t>草根</w:t>
            </w:r>
          </w:p>
        </w:tc>
        <w:tc>
          <w:tcPr>
            <w:tcW w:w="954" w:type="dxa"/>
            <w:vAlign w:val="center"/>
          </w:tcPr>
          <w:p>
            <w:pPr>
              <w:jc w:val="center"/>
              <w:rPr>
                <w:rFonts w:ascii="Times New Roman" w:hAnsi="Times New Roman" w:cs="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cs="Times New Roman"/>
                <w:szCs w:val="21"/>
              </w:rPr>
            </w:pPr>
            <w:r>
              <w:rPr>
                <w:rFonts w:hint="eastAsia" w:ascii="Times New Roman" w:hAnsi="Times New Roman"/>
                <w:szCs w:val="21"/>
              </w:rPr>
              <w:t>1.795</w:t>
            </w:r>
          </w:p>
        </w:tc>
        <w:tc>
          <w:tcPr>
            <w:tcW w:w="1336" w:type="dxa"/>
            <w:vAlign w:val="center"/>
          </w:tcPr>
          <w:p>
            <w:pPr>
              <w:jc w:val="center"/>
              <w:rPr>
                <w:rFonts w:ascii="Times New Roman" w:hAnsi="Times New Roman" w:cs="Times New Roman"/>
                <w:szCs w:val="21"/>
              </w:rPr>
            </w:pPr>
            <w:r>
              <w:rPr>
                <w:rFonts w:hint="eastAsia" w:ascii="Times New Roman" w:hAnsi="Times New Roman"/>
                <w:szCs w:val="21"/>
              </w:rPr>
              <w:t>0.8975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603" w:type="dxa"/>
            <w:gridSpan w:val="10"/>
            <w:vAlign w:val="center"/>
          </w:tcPr>
          <w:p>
            <w:pPr>
              <w:jc w:val="left"/>
              <w:rPr>
                <w:rFonts w:ascii="Times New Roman" w:hAnsi="Times New Roman" w:cs="Times New Roman"/>
                <w:sz w:val="24"/>
                <w:szCs w:val="24"/>
              </w:rPr>
            </w:pPr>
            <w:r>
              <w:rPr>
                <w:rFonts w:hint="eastAsia" w:ascii="Times New Roman" w:hAnsi="Times New Roman" w:cs="Times New Roman"/>
                <w:sz w:val="24"/>
                <w:szCs w:val="24"/>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矿业权出让收益率：T﹤60℃=3.6%，60℃≦T﹤90℃=4.2%，T≧90℃=4.7%。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二、出让人：</w:t>
      </w:r>
      <w:r>
        <w:rPr>
          <w:rFonts w:hint="eastAsia" w:ascii="Times New Roman" w:hAnsi="Times New Roman" w:cs="Times New Roman"/>
          <w:sz w:val="24"/>
          <w:szCs w:val="24"/>
        </w:rPr>
        <w:t>重庆市南川区规划和自然资源局</w:t>
      </w:r>
      <w:r>
        <w:rPr>
          <w:rFonts w:hint="eastAsia" w:ascii="Times New Roman" w:hAnsi="Times New Roman" w:cs="Times New Roman"/>
          <w:b w:val="0"/>
          <w:bCs/>
          <w:sz w:val="24"/>
          <w:szCs w:val="24"/>
        </w:rPr>
        <w:t>，地址：南川区南大街89号，联系人：王老师，联系电话：023-71678274。</w:t>
      </w:r>
    </w:p>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三、交易平台：</w:t>
      </w:r>
      <w:r>
        <w:rPr>
          <w:rFonts w:hint="eastAsia" w:ascii="Times New Roman" w:hAnsi="Times New Roman" w:cs="Times New Roman"/>
          <w:sz w:val="24"/>
          <w:szCs w:val="24"/>
        </w:rPr>
        <w:t>重庆市南川区公共资源综合交易中心</w:t>
      </w:r>
      <w:r>
        <w:rPr>
          <w:rFonts w:hint="eastAsia" w:ascii="Times New Roman" w:hAnsi="Times New Roman" w:cs="Times New Roman"/>
          <w:bCs/>
          <w:sz w:val="24"/>
          <w:szCs w:val="24"/>
        </w:rPr>
        <w:t>，</w:t>
      </w:r>
      <w:r>
        <w:rPr>
          <w:rFonts w:hint="eastAsia" w:ascii="Times New Roman" w:hAnsi="Times New Roman" w:cs="Times New Roman"/>
          <w:sz w:val="24"/>
          <w:szCs w:val="24"/>
        </w:rPr>
        <w:t>地址：重庆市南川区商务中心右副楼2楼，联系人：{{报名联系人}}，联系电话：</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四、竞买人的资质条件：</w:t>
      </w:r>
      <w:bookmarkStart w:id="0" w:name="_GoBack"/>
      <w:bookmarkEnd w:id="0"/>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（一）竞买申请人须为依法登记的营利法人或者非营利法人中的事业单位法人；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在自然资源部矿业权人勘查开采信息公示系统的</w:t>
      </w:r>
      <w:r>
        <w:rPr>
          <w:rFonts w:ascii="Times New Roman" w:hAnsi="Times New Roman" w:cs="Times New Roman"/>
          <w:sz w:val="24"/>
          <w:szCs w:val="24"/>
        </w:rPr>
        <w:t>“</w:t>
      </w:r>
      <w:r>
        <w:rPr>
          <w:rFonts w:hint="eastAsia" w:ascii="Times New Roman" w:hAnsi="Times New Roman" w:cs="Times New Roman"/>
          <w:sz w:val="24"/>
          <w:szCs w:val="24"/>
        </w:rPr>
        <w:t>矿业权人异常名录</w:t>
      </w:r>
      <w:r>
        <w:rPr>
          <w:rFonts w:ascii="Times New Roman" w:hAnsi="Times New Roman" w:cs="Times New Roman"/>
          <w:sz w:val="24"/>
          <w:szCs w:val="24"/>
        </w:rPr>
        <w:t>”“</w:t>
      </w:r>
      <w:r>
        <w:rPr>
          <w:rFonts w:hint="eastAsia" w:ascii="Times New Roman" w:hAnsi="Times New Roman" w:cs="Times New Roman"/>
          <w:sz w:val="24"/>
          <w:szCs w:val="24"/>
        </w:rPr>
        <w:t>矿业权人严重违法名单</w:t>
      </w:r>
      <w:r>
        <w:rPr>
          <w:rFonts w:ascii="Times New Roman" w:hAnsi="Times New Roman" w:cs="Times New Roman"/>
          <w:sz w:val="24"/>
          <w:szCs w:val="24"/>
        </w:rPr>
        <w:t>”</w:t>
      </w:r>
      <w:r>
        <w:rPr>
          <w:rFonts w:hint="eastAsia" w:ascii="Times New Roman" w:hAnsi="Times New Roman" w:cs="Times New Roman"/>
          <w:sz w:val="24"/>
          <w:szCs w:val="24"/>
        </w:rPr>
        <w:t>内；</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通过</w:t>
      </w:r>
      <w:r>
        <w:rPr>
          <w:rFonts w:ascii="Times New Roman" w:hAnsi="Times New Roman" w:cs="Times New Roman"/>
          <w:sz w:val="24"/>
          <w:szCs w:val="24"/>
        </w:rPr>
        <w:t>“</w:t>
      </w:r>
      <w:r>
        <w:rPr>
          <w:rFonts w:hint="eastAsia" w:ascii="Times New Roman" w:hAnsi="Times New Roman" w:cs="Times New Roman"/>
          <w:sz w:val="24"/>
          <w:szCs w:val="24"/>
        </w:rPr>
        <w:t>信用中国</w:t>
      </w:r>
      <w:r>
        <w:rPr>
          <w:rFonts w:ascii="Times New Roman" w:hAnsi="Times New Roman" w:cs="Times New Roman"/>
          <w:sz w:val="24"/>
          <w:szCs w:val="24"/>
        </w:rPr>
        <w:t>”</w:t>
      </w:r>
      <w:r>
        <w:rPr>
          <w:rFonts w:hint="eastAsia" w:ascii="Times New Roman" w:hAnsi="Times New Roman" w:cs="Times New Roman"/>
          <w:sz w:val="24"/>
          <w:szCs w:val="24"/>
        </w:rPr>
        <w:t>查询，在自然资源部联合惩戒备忘录或重庆市信用惩戒严重失信主体</w:t>
      </w:r>
      <w:r>
        <w:rPr>
          <w:rFonts w:ascii="Times New Roman" w:hAnsi="Times New Roman" w:cs="Times New Roman"/>
          <w:sz w:val="24"/>
          <w:szCs w:val="24"/>
        </w:rPr>
        <w:t>“</w:t>
      </w:r>
      <w:r>
        <w:rPr>
          <w:rFonts w:hint="eastAsia" w:ascii="Times New Roman" w:hAnsi="Times New Roman" w:cs="Times New Roman"/>
          <w:sz w:val="24"/>
          <w:szCs w:val="24"/>
        </w:rPr>
        <w:t>黑名单</w:t>
      </w:r>
      <w:r>
        <w:rPr>
          <w:rFonts w:ascii="Times New Roman" w:hAnsi="Times New Roman" w:cs="Times New Roman"/>
          <w:sz w:val="24"/>
          <w:szCs w:val="24"/>
        </w:rPr>
        <w:t>”</w:t>
      </w:r>
      <w:r>
        <w:rPr>
          <w:rFonts w:hint="eastAsia" w:ascii="Times New Roman" w:hAnsi="Times New Roman" w:cs="Times New Roman"/>
          <w:sz w:val="24"/>
          <w:szCs w:val="24"/>
        </w:rPr>
        <w:t>内限制禁止参与矿业权出让的；</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highlight w:val="none"/>
        </w:rPr>
        <w:t>.</w:t>
      </w:r>
      <w:r>
        <w:rPr>
          <w:rFonts w:hint="eastAsia"/>
          <w:highlight w:val="none"/>
        </w:rPr>
        <w:t xml:space="preserve"> </w:t>
      </w:r>
      <w:r>
        <w:rPr>
          <w:rFonts w:hint="eastAsia" w:ascii="Times New Roman" w:hAnsi="Times New Roman" w:cs="Times New Roman"/>
          <w:sz w:val="24"/>
          <w:szCs w:val="24"/>
          <w:highlight w:val="none"/>
        </w:rPr>
        <w:t>被吊销勘查许可证</w:t>
      </w:r>
      <w:r>
        <w:rPr>
          <w:rFonts w:hint="eastAsia" w:ascii="Times New Roman" w:hAnsi="Times New Roman" w:cs="Times New Roman"/>
          <w:sz w:val="24"/>
          <w:szCs w:val="24"/>
          <w:highlight w:val="none"/>
          <w:lang w:val="en-US" w:eastAsia="zh-CN"/>
        </w:rPr>
        <w:t>且自吊销</w:t>
      </w:r>
      <w:r>
        <w:rPr>
          <w:rFonts w:hint="eastAsia" w:ascii="Times New Roman" w:hAnsi="Times New Roman" w:cs="Times New Roman"/>
          <w:sz w:val="24"/>
          <w:szCs w:val="24"/>
          <w:highlight w:val="none"/>
        </w:rPr>
        <w:t>之日起</w:t>
      </w:r>
      <w:r>
        <w:rPr>
          <w:rFonts w:hint="eastAsia" w:ascii="Times New Roman" w:hAnsi="Times New Roman" w:cs="Times New Roman"/>
          <w:sz w:val="24"/>
          <w:szCs w:val="24"/>
          <w:highlight w:val="none"/>
          <w:lang w:val="en-US" w:eastAsia="zh-CN"/>
        </w:rPr>
        <w:t>未满</w:t>
      </w:r>
      <w:r>
        <w:rPr>
          <w:rFonts w:hint="eastAsia" w:ascii="Times New Roman" w:hAnsi="Times New Roman" w:cs="Times New Roman"/>
          <w:sz w:val="24"/>
          <w:szCs w:val="24"/>
          <w:highlight w:val="none"/>
        </w:rPr>
        <w:t>6个月</w:t>
      </w:r>
      <w:r>
        <w:rPr>
          <w:rFonts w:hint="eastAsia" w:ascii="Times New Roman" w:hAnsi="Times New Roman" w:cs="Times New Roman"/>
          <w:sz w:val="24"/>
          <w:szCs w:val="24"/>
          <w:highlight w:val="none"/>
          <w:lang w:val="en-US" w:eastAsia="zh-CN"/>
        </w:rPr>
        <w:t>的</w:t>
      </w:r>
      <w:r>
        <w:rPr>
          <w:rFonts w:hint="eastAsia" w:ascii="Times New Roman" w:hAnsi="Times New Roman" w:cs="Times New Roman"/>
          <w:sz w:val="24"/>
          <w:szCs w:val="24"/>
          <w:highlight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出让方式：挂牌</w:t>
      </w:r>
      <w:r>
        <w:rPr>
          <w:rFonts w:hint="eastAsia"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公告时间：2024年03月27日</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2024年04月24日</w:t>
      </w:r>
    </w:p>
    <w:p>
      <w:pPr>
        <w:spacing w:before="0" w:after="0" w:line="360" w:lineRule="exact"/>
        <w:ind w:firstLine="480" w:firstLineChars="200"/>
        <w:rPr>
          <w:rFonts w:hint="eastAsia" w:ascii="Times New Roman" w:hAnsi="Times New Roman" w:cs="Times New Roman"/>
          <w:i/>
          <w:sz w:val="24"/>
          <w:szCs w:val="24"/>
          <w:u w:val="single"/>
        </w:rPr>
      </w:pPr>
      <w:r>
        <w:rPr>
          <w:rFonts w:hint="eastAsia" w:ascii="Times New Roman" w:hAnsi="Times New Roman" w:cs="Times New Roman"/>
          <w:sz w:val="24"/>
          <w:szCs w:val="24"/>
        </w:rPr>
        <w:t>挂牌时间：</w:t>
      </w:r>
      <w:r>
        <w:rPr>
          <w:rFonts w:hint="eastAsia" w:ascii="Times New Roman" w:hAnsi="Times New Roman" w:cs="Times New Roman"/>
          <w:sz w:val="24"/>
          <w:szCs w:val="24"/>
          <w:lang w:val="en-US" w:eastAsia="zh-CN"/>
        </w:rPr>
        <w:t>2024年04月25日09时</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2024年05月10日17时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重庆市南川区公共资源综合交易中心</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六、获取竞买文件的途径和申请报名的起止时间及方式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（一）申请人可在报名期限内到重庆市南川区公共资源综合交易中心领取出让相关资料，也可在报名期限内登录重庆市南川区公共资源综合交易中心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https://www.cqggzy.com/nanchuanweb/查阅、下载出让资料。</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（二）报名时限：2024年03月27日09时</w:t>
      </w:r>
      <w:r>
        <w:rPr>
          <w:rFonts w:hint="eastAsia" w:ascii="Times New Roman" w:hAnsi="Times New Roman" w:cs="Times New Roman"/>
          <w:i w:val="0"/>
          <w:sz w:val="24"/>
          <w:szCs w:val="24"/>
          <w:u w:val="none"/>
        </w:rPr>
        <w:t>－2024年04月24日17时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本次公开出让的探矿权采取</w:t>
      </w:r>
      <w:r>
        <w:rPr>
          <w:rFonts w:hint="eastAsia" w:ascii="Times New Roman" w:hAnsi="Times New Roman" w:cs="Times New Roman"/>
          <w:sz w:val="24"/>
          <w:szCs w:val="24"/>
          <w:lang w:val="en-US" w:eastAsia="zh-CN"/>
        </w:rPr>
        <w:t>现场报名 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现场报名：</w:t>
      </w:r>
      <w:r>
        <w:rPr>
          <w:rFonts w:hint="eastAsia" w:ascii="Times New Roman" w:hAnsi="Times New Roman" w:cs="Times New Roman"/>
          <w:sz w:val="24"/>
          <w:szCs w:val="24"/>
        </w:rPr>
        <w:t>申请人可于报名期限内足额交纳竞买保证金到指定账户，并持报名资料到</w:t>
      </w:r>
      <w:r>
        <w:rPr>
          <w:rFonts w:hint="eastAsia" w:ascii="Times New Roman" w:hAnsi="Times New Roman" w:cs="Times New Roman"/>
          <w:i w:val="0"/>
          <w:sz w:val="24"/>
          <w:szCs w:val="24"/>
          <w:u w:val="none"/>
        </w:rPr>
        <w:t>重庆市南川区公共资源综合交易中心</w:t>
      </w:r>
      <w:r>
        <w:rPr>
          <w:rFonts w:hint="eastAsia"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网上报名：</w:t>
      </w:r>
      <w:r>
        <w:rPr>
          <w:rFonts w:hint="eastAsia" w:ascii="Times New Roman" w:hAnsi="Times New Roman" w:cs="Times New Roman"/>
          <w:sz w:val="24"/>
          <w:szCs w:val="24"/>
        </w:rPr>
        <w:t>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（四）保证金的交纳详见《出让文件》</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本次挂牌出让为无底价，采用增价报价的方式，按照价高者得原则确定竞得人。挂牌成交后的竞得人按规定即时签订《成交确认书》，成交结果在相关网站公示</w:t>
      </w:r>
      <w:r>
        <w:rPr>
          <w:rFonts w:ascii="Times New Roman" w:hAnsi="Times New Roman" w:cs="Times New Roman"/>
          <w:sz w:val="24"/>
          <w:szCs w:val="24"/>
        </w:rPr>
        <w:t>10</w:t>
      </w:r>
      <w:r>
        <w:rPr>
          <w:rFonts w:hint="eastAsia" w:ascii="Times New Roman" w:hAnsi="Times New Roman" w:cs="Times New Roman"/>
          <w:sz w:val="24"/>
          <w:szCs w:val="24"/>
        </w:rPr>
        <w:t>个工作日。</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（一）因地质勘查工作实际需要，</w:t>
      </w:r>
      <w:r>
        <w:rPr>
          <w:rFonts w:hint="eastAsia" w:ascii="Times New Roman" w:hAnsi="Times New Roman" w:cs="Times New Roman"/>
          <w:color w:val="auto"/>
          <w:kern w:val="0"/>
          <w:sz w:val="24"/>
          <w:szCs w:val="24"/>
        </w:rPr>
        <w:t>有关</w:t>
      </w:r>
      <w:r>
        <w:rPr>
          <w:rFonts w:hint="eastAsia" w:ascii="Times New Roman" w:hAnsi="Times New Roman" w:cs="Times New Roman"/>
          <w:kern w:val="0"/>
          <w:sz w:val="24"/>
          <w:szCs w:val="24"/>
        </w:rPr>
        <w:t>该宗探矿权</w:t>
      </w:r>
      <w:r>
        <w:rPr>
          <w:rFonts w:hint="eastAsia" w:ascii="Times New Roman" w:hAnsi="Times New Roman" w:cs="Times New Roman"/>
          <w:color w:val="auto"/>
          <w:kern w:val="0"/>
          <w:sz w:val="24"/>
          <w:szCs w:val="24"/>
        </w:rPr>
        <w:t>的</w:t>
      </w:r>
      <w:r>
        <w:rPr>
          <w:rFonts w:hint="eastAsia" w:ascii="Times New Roman" w:hAnsi="Times New Roman" w:cs="Times New Roman"/>
          <w:kern w:val="0"/>
          <w:sz w:val="24"/>
          <w:szCs w:val="24"/>
        </w:rPr>
        <w:t>用地、用水、用电、公路、环保、基础设施等</w:t>
      </w:r>
      <w:r>
        <w:rPr>
          <w:rFonts w:hint="eastAsia" w:ascii="Times New Roman" w:hAnsi="Times New Roman" w:cs="Times New Roman"/>
          <w:color w:val="auto"/>
          <w:kern w:val="0"/>
          <w:sz w:val="24"/>
          <w:szCs w:val="24"/>
        </w:rPr>
        <w:t>工作，</w:t>
      </w:r>
      <w:r>
        <w:rPr>
          <w:rFonts w:hint="eastAsia" w:ascii="Times New Roman" w:hAnsi="Times New Roman" w:cs="Times New Roman"/>
          <w:kern w:val="0"/>
          <w:sz w:val="24"/>
          <w:szCs w:val="24"/>
        </w:rPr>
        <w:t>由竞得人自行负责</w:t>
      </w:r>
      <w:r>
        <w:rPr>
          <w:rFonts w:hint="eastAsia" w:ascii="Times New Roman" w:hAnsi="Times New Roman" w:cs="Times New Roman"/>
          <w:color w:val="auto"/>
          <w:kern w:val="0"/>
          <w:sz w:val="24"/>
          <w:szCs w:val="24"/>
        </w:rPr>
        <w:t>解决</w:t>
      </w:r>
      <w:r>
        <w:rPr>
          <w:rFonts w:hint="eastAsia" w:ascii="Times New Roman" w:hAnsi="Times New Roman" w:cs="Times New Roman"/>
          <w:kern w:val="0"/>
          <w:sz w:val="24"/>
          <w:szCs w:val="24"/>
        </w:rPr>
        <w:t>并依法完善</w:t>
      </w:r>
      <w:r>
        <w:rPr>
          <w:rFonts w:hint="eastAsia" w:ascii="Times New Roman" w:hAnsi="Times New Roman" w:cs="Times New Roman"/>
          <w:color w:val="auto"/>
          <w:kern w:val="0"/>
          <w:sz w:val="24"/>
          <w:szCs w:val="24"/>
        </w:rPr>
        <w:t>相关手续</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color w:val="auto"/>
          <w:kern w:val="0"/>
          <w:sz w:val="24"/>
          <w:szCs w:val="24"/>
        </w:rPr>
        <w:t>二</w:t>
      </w:r>
      <w:r>
        <w:rPr>
          <w:rFonts w:hint="eastAsia" w:ascii="Times New Roman" w:hAnsi="Times New Roman" w:cs="Times New Roman"/>
          <w:kern w:val="0"/>
          <w:sz w:val="24"/>
          <w:szCs w:val="24"/>
        </w:rPr>
        <w:t>）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（四）矿产资源勘查有着不可预见的风险，竞买申请人须慎重并自行承担风险。出现包含但不限于下列的情形，出让人不退还已收取的探矿权出让收益等相关费用。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在勘查许可证载明的区块范围和有效期限内</w:t>
      </w:r>
      <w:r>
        <w:rPr>
          <w:rFonts w:ascii="Times New Roman" w:hAnsi="Times New Roman" w:cs="Times New Roman"/>
          <w:kern w:val="0"/>
          <w:sz w:val="24"/>
          <w:szCs w:val="24"/>
        </w:rPr>
        <w:t>,</w:t>
      </w:r>
      <w:r>
        <w:rPr>
          <w:rFonts w:hint="eastAsia" w:ascii="Times New Roman" w:hAnsi="Times New Roman" w:cs="Times New Roman"/>
          <w:kern w:val="0"/>
          <w:sz w:val="24"/>
          <w:szCs w:val="24"/>
        </w:rPr>
        <w:t>不能找到可供开采的矿产资源；</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w:t>
      </w:r>
      <w:r>
        <w:rPr>
          <w:rFonts w:hint="eastAsia" w:ascii="Times New Roman" w:hAnsi="Times New Roman" w:cs="Times New Roman"/>
          <w:kern w:val="0"/>
          <w:sz w:val="24"/>
          <w:szCs w:val="24"/>
        </w:rPr>
        <w:t>法律法规修改或国家政策变化、矿产资源规划调整</w:t>
      </w:r>
      <w:r>
        <w:rPr>
          <w:rFonts w:hint="eastAsia" w:ascii="Times New Roman" w:hAnsi="Times New Roman" w:cs="Times New Roman"/>
          <w:color w:val="auto"/>
          <w:kern w:val="0"/>
          <w:sz w:val="24"/>
          <w:szCs w:val="24"/>
        </w:rPr>
        <w:t>，包括但不限于安全、环境保护、产业政策等要求</w:t>
      </w: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rPr>
        <w:t>对特定探矿手段、选矿方法的限制对探矿权造成不利影响或不能转为采矿权的</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以往开展的地质工作</w:t>
      </w:r>
      <w:r>
        <w:rPr>
          <w:rFonts w:hint="eastAsia" w:ascii="Times New Roman" w:hAnsi="Times New Roman" w:cs="Times New Roman"/>
          <w:color w:val="auto"/>
          <w:kern w:val="0"/>
          <w:sz w:val="24"/>
          <w:szCs w:val="24"/>
        </w:rPr>
        <w:t>、</w:t>
      </w:r>
      <w:r>
        <w:rPr>
          <w:rFonts w:hint="eastAsia" w:ascii="Times New Roman" w:hAnsi="Times New Roman" w:cs="Times New Roman"/>
          <w:kern w:val="0"/>
          <w:sz w:val="24"/>
          <w:szCs w:val="24"/>
        </w:rPr>
        <w:t>形成的地质勘查资料存在瑕疵；</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对本次出让的探矿权存有异议的，应在公告期截止前以书面方式向</w:t>
      </w:r>
      <w:r>
        <w:rPr>
          <w:rFonts w:hint="eastAsia" w:ascii="Times New Roman" w:hAnsi="Times New Roman" w:cs="Times New Roman"/>
          <w:sz w:val="24"/>
          <w:szCs w:val="24"/>
        </w:rPr>
        <w:t>重庆市南川区</w:t>
      </w:r>
      <w:r>
        <w:rPr>
          <w:rFonts w:hint="eastAsia" w:ascii="Times New Roman" w:hAnsi="Times New Roman" w:cs="Times New Roman"/>
          <w:color w:val="auto"/>
          <w:sz w:val="24"/>
          <w:szCs w:val="24"/>
        </w:rPr>
        <w:t>提出；对出让交易程序存有异议的，应在结果公示期截止前以书面方式向</w:t>
      </w:r>
      <w:r>
        <w:rPr>
          <w:rFonts w:hint="eastAsia" w:ascii="Times New Roman" w:hAnsi="Times New Roman" w:cs="Times New Roman"/>
          <w:sz w:val="24"/>
          <w:szCs w:val="24"/>
        </w:rPr>
        <w:t>重庆市南川区公共资源综合交易中心</w:t>
      </w:r>
      <w:r>
        <w:rPr>
          <w:rFonts w:hint="eastAsia" w:ascii="Times New Roman" w:hAnsi="Times New Roman" w:cs="Times New Roman"/>
          <w:color w:val="auto"/>
          <w:sz w:val="24"/>
          <w:szCs w:val="24"/>
        </w:rPr>
        <w:t>提出。</w:t>
      </w:r>
      <w:r>
        <w:rPr>
          <w:rFonts w:hint="eastAsia" w:ascii="Times New Roman" w:hAnsi="Times New Roman" w:cs="Times New Roman"/>
          <w:kern w:val="0"/>
          <w:sz w:val="24"/>
          <w:szCs w:val="24"/>
        </w:rPr>
        <w:t>根据所提异议的具体情况，按照</w:t>
      </w:r>
      <w:r>
        <w:rPr>
          <w:rFonts w:hint="eastAsia"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hint="eastAsia"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color w:val="auto"/>
          <w:sz w:val="24"/>
          <w:szCs w:val="24"/>
        </w:rPr>
        <w:t>2018</w:t>
      </w:r>
      <w:r>
        <w:rPr>
          <w:rFonts w:hint="eastAsia" w:ascii="Times New Roman" w:hAnsi="Times New Roman" w:cs="Times New Roman"/>
          <w:color w:val="auto"/>
          <w:sz w:val="24"/>
          <w:szCs w:val="24"/>
        </w:rPr>
        <w:t>〕</w:t>
      </w:r>
      <w:r>
        <w:rPr>
          <w:rFonts w:ascii="Times New Roman" w:hAnsi="Times New Roman" w:cs="Times New Roman"/>
          <w:color w:val="auto"/>
          <w:sz w:val="24"/>
          <w:szCs w:val="24"/>
        </w:rPr>
        <w:t>457</w:t>
      </w:r>
      <w:r>
        <w:rPr>
          <w:rFonts w:hint="eastAsia" w:ascii="Times New Roman" w:hAnsi="Times New Roman" w:cs="Times New Roman"/>
          <w:color w:val="auto"/>
          <w:sz w:val="24"/>
          <w:szCs w:val="24"/>
        </w:rPr>
        <w:t>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（二）有下列情形之一的，视为竞买人、竞得人违约，竞得结果无效，并将其列入失信联合惩戒名单并承担相当于竞买保证金的违约金，出让方有权不再签订出让合同或解除合同：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竞买人弄虚作假，骗取交易资格或竞得的；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hint="eastAsia" w:ascii="Times New Roman" w:hAnsi="Times New Roman" w:cs="Times New Roman"/>
          <w:color w:val="auto"/>
          <w:sz w:val="24"/>
          <w:szCs w:val="24"/>
        </w:rPr>
        <w:t>采取行贿或其他不正当手段竞得的；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w:t>
      </w:r>
      <w:r>
        <w:rPr>
          <w:rFonts w:hint="eastAsia" w:ascii="Times New Roman" w:hAnsi="Times New Roman" w:cs="Times New Roman"/>
          <w:color w:val="auto"/>
          <w:sz w:val="24"/>
          <w:szCs w:val="24"/>
        </w:rPr>
        <w:t>竞得人逾期不签订或者拒绝签订成交确认书的；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hint="eastAsia" w:ascii="Times New Roman" w:hAnsi="Times New Roman" w:cs="Times New Roman"/>
          <w:color w:val="auto"/>
          <w:sz w:val="24"/>
          <w:szCs w:val="24"/>
        </w:rPr>
        <w:t>竞得人逾期不签订或者拒绝签订出让合同的；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其他依法应当认定为违约的情形。</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十一、其他重要提示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sz w:val="24"/>
          <w:szCs w:val="24"/>
        </w:rPr>
        <w:t>（</w:t>
      </w:r>
      <w:r>
        <w:rPr>
          <w:rFonts w:hint="eastAsia" w:ascii="Times New Roman" w:hAnsi="Times New Roman" w:cs="Times New Roman"/>
          <w:kern w:val="0"/>
          <w:sz w:val="24"/>
          <w:szCs w:val="24"/>
        </w:rPr>
        <w:t>一）竞得人在探矿权区块范围内开展勘查工作应按照《矿山地质环境保护规定》履行矿山地质环境保护相关义务。</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（二）按照国家和重庆市有关规定，本次出让的探矿权在转采矿权后需缴纳采矿权出让收益的应按规定缴纳。</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（三）矿产资源勘查有着不可预见的风险，本宗探矿权详查出让前期技术报告编制工作使用的技术依据中部分为类比参考，存在一定的不确定和不完整性因素，竞买申请人须自行承担风险。</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（四）本宗《探矿权出让技术报告》在公告和挂牌期间已移交南川区公共资源综合交易中心暂存，竞买人可自行查阅相关内容和信息。</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（五）本宗探矿权出让前期工作费用共计18.775万元，竞买人竞得后应在5个工作日内，支付该宗探矿权出让前期工作费用至重庆市南川区财政局，开户行：重庆农村商业银行南川支行，账号：2609010120010004497-000380。</w:t>
      </w:r>
    </w:p>
    <w:p>
      <w:pPr>
        <w:snapToGrid w:val="0"/>
        <w:spacing w:before="0" w:after="0" w:line="600" w:lineRule="exact"/>
        <w:jc w:val="right"/>
        <w:rPr>
          <w:rFonts w:ascii="Times New Roman" w:hAnsi="Times New Roman" w:eastAsia="方正仿宋_GBK" w:cs="Times New Roman"/>
        </w:rPr>
      </w:pPr>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重庆市南川区规划和自然资源局</w:t>
      </w:r>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2024年03月27日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A6E4E92"/>
    <w:rsid w:val="1B617700"/>
    <w:rsid w:val="1C06768E"/>
    <w:rsid w:val="20A5080F"/>
    <w:rsid w:val="227B6E3E"/>
    <w:rsid w:val="230706D2"/>
    <w:rsid w:val="286C5EC7"/>
    <w:rsid w:val="29C54E43"/>
    <w:rsid w:val="2FBE5608"/>
    <w:rsid w:val="30A3112B"/>
    <w:rsid w:val="332C723A"/>
    <w:rsid w:val="354E36A5"/>
    <w:rsid w:val="35AF5167"/>
    <w:rsid w:val="3647730B"/>
    <w:rsid w:val="38EF4984"/>
    <w:rsid w:val="3A161DA8"/>
    <w:rsid w:val="3B32181A"/>
    <w:rsid w:val="3C251999"/>
    <w:rsid w:val="41627D39"/>
    <w:rsid w:val="43041806"/>
    <w:rsid w:val="44B02552"/>
    <w:rsid w:val="451900C5"/>
    <w:rsid w:val="456C0661"/>
    <w:rsid w:val="464A386A"/>
    <w:rsid w:val="47AB04E9"/>
    <w:rsid w:val="48C47BE7"/>
    <w:rsid w:val="4CB34738"/>
    <w:rsid w:val="53057BB0"/>
    <w:rsid w:val="53F109E6"/>
    <w:rsid w:val="589E253F"/>
    <w:rsid w:val="5BCD17B1"/>
    <w:rsid w:val="619C19E8"/>
    <w:rsid w:val="634344BD"/>
    <w:rsid w:val="63B03F17"/>
    <w:rsid w:val="643B565D"/>
    <w:rsid w:val="67901F35"/>
    <w:rsid w:val="6B1531C6"/>
    <w:rsid w:val="6C983716"/>
    <w:rsid w:val="6EAC1897"/>
    <w:rsid w:val="74522DBE"/>
    <w:rsid w:val="75BF1B3D"/>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2286</Words>
  <Characters>2476</Characters>
  <Lines>19</Lines>
  <Paragraphs>5</Paragraphs>
  <TotalTime>0</TotalTime>
  <ScaleCrop>false</ScaleCrop>
  <LinksUpToDate>false</LinksUpToDate>
  <CharactersWithSpaces>2486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2023-02-13T02:14:00Z</cp:lastPrinted>
  <dcterms:modified xsi:type="dcterms:W3CDTF">2024-03-27T01:55:59Z</dcterms:modified>
  <cp:revision>782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