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lang w:eastAsia="zh-CN"/>
        </w:rPr>
        <w:t>重庆市</w:t>
      </w:r>
      <w:r>
        <w:rPr>
          <w:rFonts w:hint="eastAsia" w:ascii="Times New Roman" w:hAnsi="Times New Roman" w:eastAsia="方正小标宋_GBK" w:cs="Times New Roman"/>
          <w:sz w:val="28"/>
          <w:szCs w:val="28"/>
        </w:rPr>
        <w:t>丰都县社坛镇石板坡建筑用砂岩矿采矿权</w:t>
      </w:r>
    </w:p>
    <w:p>
      <w:pPr>
        <w:snapToGrid w:val="0"/>
        <w:spacing w:line="600" w:lineRule="exact"/>
        <w:jc w:val="center"/>
        <w:rPr>
          <w:rFonts w:ascii="Times New Roman" w:hAnsi="Times New Roman" w:eastAsia="方正小标宋_GBK" w:cs="Times New Roman"/>
          <w:sz w:val="28"/>
          <w:szCs w:val="28"/>
        </w:rPr>
      </w:pPr>
      <w:r>
        <w:rPr>
          <w:rFonts w:hint="eastAsia" w:ascii="Times New Roman" w:hAnsi="Times New Roman" w:eastAsia="方正小标宋_GBK" w:cs="Times New Roman"/>
          <w:sz w:val="28"/>
          <w:szCs w:val="28"/>
        </w:rPr>
        <w:t>拍卖出让文件</w:t>
      </w:r>
    </w:p>
    <w:p>
      <w:pPr>
        <w:wordWrap w:val="0"/>
        <w:spacing w:line="360" w:lineRule="exact"/>
        <w:jc w:val="center"/>
        <w:rPr>
          <w:rFonts w:hint="default" w:ascii="Times New Roman" w:hAnsi="Times New Roman" w:eastAsia="宋体" w:cs="Times New Roman"/>
          <w:b/>
          <w:szCs w:val="21"/>
          <w:highlight w:val="yellow"/>
          <w:lang w:val="en-US" w:eastAsia="zh-CN"/>
        </w:rPr>
      </w:pPr>
      <w:r>
        <w:rPr>
          <w:rFonts w:hint="eastAsia" w:ascii="Times New Roman" w:hAnsi="Times New Roman" w:eastAsia="宋体" w:cs="Times New Roman"/>
          <w:b/>
          <w:szCs w:val="21"/>
          <w:lang w:val="en-US" w:eastAsia="zh-CN"/>
        </w:rPr>
        <w:t xml:space="preserve">                                                  </w:t>
      </w:r>
      <w:r>
        <w:rPr>
          <w:rFonts w:ascii="Times New Roman" w:hAnsi="Times New Roman" w:eastAsia="宋体" w:cs="Times New Roman"/>
          <w:b/>
          <w:szCs w:val="21"/>
        </w:rPr>
        <w:t>公告序号：</w:t>
      </w:r>
      <w:r>
        <w:rPr>
          <w:rFonts w:hint="eastAsia" w:ascii="Times New Roman" w:hAnsi="Times New Roman" w:eastAsia="宋体" w:cs="Times New Roman"/>
          <w:b/>
          <w:szCs w:val="21"/>
          <w:highlight w:val="none"/>
          <w:lang w:val="en-US" w:eastAsia="zh-CN"/>
        </w:rPr>
        <w:t>FDGC202402</w:t>
      </w:r>
    </w:p>
    <w:p>
      <w:pPr>
        <w:spacing w:line="360" w:lineRule="exact"/>
        <w:ind w:firstLine="428" w:firstLineChars="204"/>
        <w:rPr>
          <w:rFonts w:ascii="Times New Roman" w:hAnsi="Times New Roman" w:eastAsia="宋体" w:cs="Times New Roman"/>
          <w:szCs w:val="21"/>
        </w:rPr>
      </w:pPr>
      <w:r>
        <w:rPr>
          <w:rFonts w:ascii="Times New Roman" w:hAnsi="Times New Roman" w:eastAsia="宋体" w:cs="Times New Roman"/>
          <w:szCs w:val="21"/>
        </w:rPr>
        <w:t>为合理开发利用矿产资源，维护矿产资源的国家所有权，建立规范、开放、竞争、有序的矿业权市场，根据</w:t>
      </w:r>
      <w:r>
        <w:rPr>
          <w:rFonts w:hint="eastAsia" w:ascii="Times New Roman" w:hAnsi="Times New Roman" w:eastAsia="宋体" w:cs="Times New Roman"/>
          <w:szCs w:val="21"/>
        </w:rPr>
        <w:t>《矿业权出让交易规则》（自然资规〔</w:t>
      </w:r>
      <w:r>
        <w:rPr>
          <w:rFonts w:ascii="Times New Roman" w:hAnsi="Times New Roman" w:eastAsia="宋体" w:cs="Times New Roman"/>
          <w:szCs w:val="21"/>
        </w:rPr>
        <w:t>2023〕1号）等有关规定，</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规划和自然资源局决定公开拍卖出让以下采矿权，并委托</w:t>
      </w:r>
      <w:r>
        <w:rPr>
          <w:rFonts w:hint="eastAsia" w:ascii="Times New Roman" w:hAnsi="Times New Roman" w:eastAsia="宋体" w:cs="Times New Roman"/>
          <w:szCs w:val="21"/>
        </w:rPr>
        <w:t>丰都县兴丰资产管理有限公司</w:t>
      </w:r>
      <w:r>
        <w:rPr>
          <w:rFonts w:ascii="Times New Roman" w:hAnsi="Times New Roman" w:eastAsia="宋体" w:cs="Times New Roman"/>
          <w:szCs w:val="21"/>
        </w:rPr>
        <w:t>负责公开出让交易环节的组织实施。</w:t>
      </w:r>
    </w:p>
    <w:p>
      <w:pPr>
        <w:spacing w:line="360" w:lineRule="exact"/>
        <w:ind w:firstLine="422" w:firstLineChars="200"/>
        <w:rPr>
          <w:rFonts w:ascii="Times New Roman" w:hAnsi="Times New Roman" w:eastAsia="宋体" w:cs="Times New Roman"/>
          <w:b/>
          <w:bCs/>
          <w:kern w:val="0"/>
          <w:szCs w:val="21"/>
        </w:rPr>
      </w:pPr>
      <w:r>
        <w:rPr>
          <w:rFonts w:ascii="Times New Roman" w:hAnsi="Times New Roman" w:eastAsia="宋体" w:cs="Times New Roman"/>
          <w:b/>
          <w:bCs/>
          <w:kern w:val="0"/>
          <w:szCs w:val="21"/>
        </w:rPr>
        <w:t>一、出让采矿权基本情况</w:t>
      </w:r>
    </w:p>
    <w:p>
      <w:pPr>
        <w:spacing w:line="360" w:lineRule="exact"/>
        <w:ind w:firstLine="352" w:firstLineChars="168"/>
        <w:rPr>
          <w:rFonts w:hint="eastAsia" w:ascii="Times New Roman" w:hAnsi="Times New Roman" w:eastAsia="宋体" w:cs="Times New Roman"/>
          <w:szCs w:val="21"/>
          <w:highlight w:val="none"/>
          <w:lang w:val="en-US" w:eastAsia="zh-CN"/>
        </w:rPr>
      </w:pPr>
      <w:r>
        <w:rPr>
          <w:rFonts w:ascii="Times New Roman" w:hAnsi="Times New Roman" w:eastAsia="宋体" w:cs="Times New Roman"/>
          <w:szCs w:val="21"/>
        </w:rPr>
        <w:t>（一）</w:t>
      </w:r>
      <w:r>
        <w:rPr>
          <w:rFonts w:ascii="Times New Roman" w:hAnsi="Times New Roman" w:eastAsia="宋体" w:cs="Times New Roman"/>
          <w:szCs w:val="21"/>
          <w:highlight w:val="none"/>
        </w:rPr>
        <w:t>公告时间：</w:t>
      </w:r>
      <w:r>
        <w:rPr>
          <w:rFonts w:hint="eastAsia" w:ascii="Times New Roman" w:hAnsi="Times New Roman" w:eastAsia="宋体" w:cs="Times New Roman"/>
          <w:szCs w:val="21"/>
          <w:highlight w:val="none"/>
          <w:lang w:val="en-US" w:eastAsia="zh-CN"/>
        </w:rPr>
        <w:t>2024年4月8日至2024年5月8日；</w:t>
      </w:r>
    </w:p>
    <w:p>
      <w:pPr>
        <w:spacing w:line="360" w:lineRule="exact"/>
        <w:ind w:firstLine="352" w:firstLineChars="168"/>
        <w:rPr>
          <w:rFonts w:hint="eastAsia" w:ascii="Times New Roman" w:hAnsi="Times New Roman" w:eastAsia="宋体" w:cs="Times New Roman"/>
          <w:szCs w:val="21"/>
          <w:lang w:val="en-US" w:eastAsia="zh-CN"/>
        </w:rPr>
      </w:pPr>
      <w:r>
        <w:rPr>
          <w:rFonts w:ascii="Times New Roman" w:hAnsi="Times New Roman" w:eastAsia="宋体" w:cs="Times New Roman"/>
          <w:szCs w:val="21"/>
        </w:rPr>
        <w:t>（二）采矿权名称（暂定名）</w:t>
      </w:r>
      <w:r>
        <w:rPr>
          <w:rFonts w:hint="eastAsia" w:ascii="Times New Roman" w:hAnsi="Times New Roman" w:eastAsia="宋体" w:cs="Times New Roman"/>
          <w:szCs w:val="21"/>
          <w:lang w:val="en-US" w:eastAsia="zh-CN"/>
        </w:rPr>
        <w:t>：重庆市丰都县社坛镇石板坡建筑用砂岩矿采矿权；</w:t>
      </w:r>
    </w:p>
    <w:p>
      <w:pPr>
        <w:spacing w:line="360" w:lineRule="exact"/>
        <w:ind w:firstLine="352" w:firstLineChars="168"/>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（三）矿山地址：丰都县社坛镇文汇村；</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（四）矿区面积：</w:t>
      </w:r>
      <w:r>
        <w:rPr>
          <w:rFonts w:hint="eastAsia" w:ascii="Times New Roman" w:hAnsi="Times New Roman" w:cs="Times New Roman"/>
          <w:szCs w:val="21"/>
        </w:rPr>
        <w:t>0.0736</w:t>
      </w:r>
      <w:r>
        <w:rPr>
          <w:rFonts w:ascii="Times New Roman" w:hAnsi="Times New Roman" w:eastAsia="宋体" w:cs="Times New Roman"/>
          <w:szCs w:val="21"/>
        </w:rPr>
        <w:t>平方公里；</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（五）开采标高：+</w:t>
      </w:r>
      <w:r>
        <w:rPr>
          <w:rFonts w:hint="eastAsia" w:ascii="Times New Roman" w:hAnsi="Times New Roman" w:eastAsia="宋体" w:cs="Times New Roman"/>
          <w:szCs w:val="21"/>
        </w:rPr>
        <w:t>585</w:t>
      </w:r>
      <w:r>
        <w:rPr>
          <w:rFonts w:ascii="Times New Roman" w:hAnsi="Times New Roman" w:eastAsia="宋体" w:cs="Times New Roman"/>
          <w:szCs w:val="21"/>
        </w:rPr>
        <w:t>米至+</w:t>
      </w:r>
      <w:r>
        <w:rPr>
          <w:rFonts w:hint="eastAsia" w:ascii="Times New Roman" w:hAnsi="Times New Roman" w:eastAsia="宋体" w:cs="Times New Roman"/>
          <w:szCs w:val="21"/>
        </w:rPr>
        <w:t>480</w:t>
      </w:r>
      <w:r>
        <w:rPr>
          <w:rFonts w:ascii="Times New Roman" w:hAnsi="Times New Roman" w:eastAsia="宋体" w:cs="Times New Roman"/>
          <w:szCs w:val="21"/>
        </w:rPr>
        <w:t xml:space="preserve">米； </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（六）开采矿种：</w:t>
      </w:r>
      <w:r>
        <w:rPr>
          <w:rFonts w:hint="eastAsia" w:ascii="Times New Roman" w:hAnsi="Times New Roman" w:eastAsia="宋体" w:cs="Times New Roman"/>
          <w:szCs w:val="21"/>
          <w:lang w:val="en-US" w:eastAsia="zh-CN"/>
        </w:rPr>
        <w:t>建筑用砂岩</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（七）资源储量：</w:t>
      </w:r>
      <w:r>
        <w:rPr>
          <w:rFonts w:hint="eastAsia" w:ascii="Times New Roman" w:hAnsi="Times New Roman" w:eastAsia="宋体" w:cs="Times New Roman"/>
          <w:szCs w:val="21"/>
        </w:rPr>
        <w:t>102.13</w:t>
      </w:r>
      <w:r>
        <w:rPr>
          <w:rFonts w:hint="eastAsia" w:ascii="Times New Roman" w:hAnsi="Times New Roman" w:eastAsia="宋体" w:cs="Times New Roman"/>
          <w:szCs w:val="21"/>
          <w:lang w:val="en-US" w:eastAsia="zh-CN"/>
        </w:rPr>
        <w:t>万立方米</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（八）生产规模：</w:t>
      </w:r>
      <w:r>
        <w:rPr>
          <w:rFonts w:hint="eastAsia" w:ascii="Times New Roman" w:hAnsi="Times New Roman" w:eastAsia="宋体" w:cs="Times New Roman"/>
          <w:szCs w:val="21"/>
          <w:lang w:val="en-US" w:eastAsia="zh-CN"/>
        </w:rPr>
        <w:t>5万立方米/年</w:t>
      </w:r>
      <w:r>
        <w:rPr>
          <w:rFonts w:ascii="Times New Roman" w:hAnsi="Times New Roman" w:eastAsia="宋体" w:cs="Times New Roman"/>
          <w:szCs w:val="21"/>
        </w:rPr>
        <w:t>；</w:t>
      </w:r>
    </w:p>
    <w:p>
      <w:pPr>
        <w:spacing w:line="360" w:lineRule="exact"/>
        <w:ind w:firstLine="352" w:firstLineChars="168"/>
        <w:rPr>
          <w:rFonts w:ascii="Times New Roman" w:hAnsi="Times New Roman" w:eastAsia="宋体" w:cs="Times New Roman"/>
          <w:szCs w:val="21"/>
          <w:highlight w:val="none"/>
        </w:rPr>
      </w:pPr>
      <w:r>
        <w:rPr>
          <w:rFonts w:ascii="Times New Roman" w:hAnsi="Times New Roman" w:eastAsia="宋体" w:cs="Times New Roman"/>
          <w:szCs w:val="21"/>
          <w:highlight w:val="none"/>
        </w:rPr>
        <w:t>（九）出让年限：</w:t>
      </w:r>
      <w:r>
        <w:rPr>
          <w:rFonts w:hint="eastAsia" w:ascii="Times New Roman" w:hAnsi="Times New Roman" w:eastAsia="宋体" w:cs="Times New Roman"/>
          <w:szCs w:val="21"/>
          <w:highlight w:val="none"/>
          <w:lang w:val="en-US" w:eastAsia="zh-CN"/>
        </w:rPr>
        <w:t>14.2</w:t>
      </w:r>
      <w:r>
        <w:rPr>
          <w:rFonts w:ascii="Times New Roman" w:hAnsi="Times New Roman" w:eastAsia="宋体" w:cs="Times New Roman"/>
          <w:szCs w:val="21"/>
          <w:highlight w:val="none"/>
        </w:rPr>
        <w:t>年；</w:t>
      </w:r>
    </w:p>
    <w:p>
      <w:pPr>
        <w:spacing w:line="360" w:lineRule="exact"/>
        <w:ind w:firstLine="352" w:firstLineChars="168"/>
        <w:rPr>
          <w:rFonts w:ascii="Times New Roman" w:hAnsi="Times New Roman" w:eastAsia="宋体" w:cs="Times New Roman"/>
          <w:b/>
          <w:bCs/>
          <w:szCs w:val="21"/>
        </w:rPr>
      </w:pPr>
      <w:r>
        <w:rPr>
          <w:rFonts w:ascii="Times New Roman" w:hAnsi="Times New Roman" w:eastAsia="宋体" w:cs="Times New Roman"/>
          <w:szCs w:val="21"/>
        </w:rPr>
        <w:t>（十）出让收益起始价：</w:t>
      </w:r>
      <w:r>
        <w:rPr>
          <w:rFonts w:hint="eastAsia" w:ascii="Times New Roman" w:hAnsi="Times New Roman" w:eastAsia="宋体" w:cs="Times New Roman"/>
          <w:szCs w:val="21"/>
          <w:lang w:val="en-US" w:eastAsia="zh-CN"/>
        </w:rPr>
        <w:t>1065</w:t>
      </w:r>
      <w:r>
        <w:rPr>
          <w:rFonts w:ascii="Times New Roman" w:hAnsi="Times New Roman" w:eastAsia="宋体" w:cs="Times New Roman"/>
          <w:szCs w:val="21"/>
        </w:rPr>
        <w:t>万元；</w:t>
      </w:r>
    </w:p>
    <w:p>
      <w:pPr>
        <w:spacing w:line="360" w:lineRule="exact"/>
        <w:ind w:firstLine="352" w:firstLineChars="168"/>
        <w:rPr>
          <w:rFonts w:ascii="Times New Roman" w:hAnsi="Times New Roman" w:eastAsia="宋体" w:cs="Times New Roman"/>
          <w:szCs w:val="21"/>
        </w:rPr>
      </w:pPr>
      <w:r>
        <w:rPr>
          <w:rFonts w:ascii="Times New Roman" w:hAnsi="Times New Roman" w:eastAsia="宋体" w:cs="Times New Roman"/>
          <w:szCs w:val="21"/>
        </w:rPr>
        <w:t>（十一）勘查范围坐标（2000坐标系）：</w:t>
      </w:r>
    </w:p>
    <w:tbl>
      <w:tblPr>
        <w:tblStyle w:val="4"/>
        <w:tblW w:w="87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8"/>
        <w:gridCol w:w="1821"/>
        <w:gridCol w:w="1701"/>
        <w:gridCol w:w="868"/>
        <w:gridCol w:w="1819"/>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拐点</w:t>
            </w:r>
          </w:p>
        </w:tc>
        <w:tc>
          <w:tcPr>
            <w:tcW w:w="3522" w:type="dxa"/>
            <w:gridSpan w:val="2"/>
            <w:noWrap w:val="0"/>
            <w:vAlign w:val="center"/>
          </w:tcPr>
          <w:p>
            <w:pPr>
              <w:widowControl/>
              <w:spacing w:line="240" w:lineRule="auto"/>
              <w:ind w:firstLine="0" w:firstLineChars="0"/>
              <w:jc w:val="center"/>
              <w:rPr>
                <w:rFonts w:hint="default" w:ascii="仿宋_GB2312" w:hAnsi="仿宋_GB2312" w:eastAsia="仿宋_GB2312" w:cs="仿宋_GB2312"/>
                <w:color w:val="000000"/>
                <w:kern w:val="0"/>
                <w:sz w:val="24"/>
                <w:szCs w:val="24"/>
                <w:highlight w:val="none"/>
                <w:lang w:val="en-US" w:eastAsia="zh-CN"/>
              </w:rPr>
            </w:pPr>
            <w:r>
              <w:rPr>
                <w:rFonts w:hint="eastAsia" w:ascii="仿宋_GB2312" w:hAnsi="仿宋_GB2312" w:eastAsia="仿宋_GB2312" w:cs="仿宋_GB2312"/>
                <w:color w:val="000000"/>
                <w:kern w:val="0"/>
                <w:sz w:val="24"/>
                <w:szCs w:val="24"/>
                <w:highlight w:val="none"/>
                <w:lang w:val="en-US" w:eastAsia="zh-CN"/>
              </w:rPr>
              <w:t>2000国家大地坐标</w:t>
            </w:r>
          </w:p>
        </w:tc>
        <w:tc>
          <w:tcPr>
            <w:tcW w:w="868" w:type="dxa"/>
            <w:vMerge w:val="restart"/>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拐点</w:t>
            </w:r>
          </w:p>
        </w:tc>
        <w:tc>
          <w:tcPr>
            <w:tcW w:w="3520" w:type="dxa"/>
            <w:gridSpan w:val="2"/>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lang w:val="en-US" w:eastAsia="zh-CN"/>
              </w:rPr>
              <w:t>2000国家大地坐标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p>
        </w:tc>
        <w:tc>
          <w:tcPr>
            <w:tcW w:w="1821"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X</w:t>
            </w:r>
          </w:p>
        </w:tc>
        <w:tc>
          <w:tcPr>
            <w:tcW w:w="1701"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Y</w:t>
            </w:r>
          </w:p>
        </w:tc>
        <w:tc>
          <w:tcPr>
            <w:tcW w:w="868" w:type="dxa"/>
            <w:vMerge w:val="continue"/>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p>
        </w:tc>
        <w:tc>
          <w:tcPr>
            <w:tcW w:w="1819"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X</w:t>
            </w:r>
          </w:p>
        </w:tc>
        <w:tc>
          <w:tcPr>
            <w:tcW w:w="1701"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color w:val="000000"/>
                <w:kern w:val="0"/>
                <w:sz w:val="24"/>
                <w:szCs w:val="24"/>
                <w:highlight w:val="none"/>
              </w:rPr>
              <w: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3317367.32</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36466135.24</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11</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3317238.39</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36466425.16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2</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3317287.66</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36466201.10</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12</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3317268.73</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36466434.48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3317254.96</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36466219.81</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13</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3317278.52</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36466440.55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4</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3317237.33</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36466220.47</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14</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3317295.17</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36466436.07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5</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3317184.29</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36466207.36</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15</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3317331.46</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36466445.64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6</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3317160.02</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36466267.28</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16</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3317376.04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36466456.48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7</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3317218.54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36466293.77</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17</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3317409.63</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36466380.27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8</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3317194.57</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36466375.24</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18</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3317461.44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36466403.73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9</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3317192.04</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36466415.22</w:t>
            </w:r>
          </w:p>
        </w:tc>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19</w:t>
            </w:r>
          </w:p>
        </w:tc>
        <w:tc>
          <w:tcPr>
            <w:tcW w:w="1819"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3317534.01</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36466219.70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86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10</w:t>
            </w:r>
          </w:p>
        </w:tc>
        <w:tc>
          <w:tcPr>
            <w:tcW w:w="182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3317221.59</w:t>
            </w:r>
          </w:p>
        </w:tc>
        <w:tc>
          <w:tcPr>
            <w:tcW w:w="1701"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仿宋_GB2312" w:hAnsi="仿宋_GB2312" w:eastAsia="仿宋_GB2312" w:cs="仿宋_GB2312"/>
                <w:i w:val="0"/>
                <w:iCs w:val="0"/>
                <w:color w:val="000000"/>
                <w:kern w:val="2"/>
                <w:sz w:val="24"/>
                <w:szCs w:val="24"/>
                <w:u w:val="none"/>
                <w:lang w:val="en-US" w:eastAsia="zh-CN" w:bidi="ar-SA"/>
              </w:rPr>
            </w:pPr>
            <w:r>
              <w:rPr>
                <w:rFonts w:hint="eastAsia" w:ascii="仿宋_GB2312" w:hAnsi="仿宋_GB2312" w:eastAsia="仿宋_GB2312" w:cs="仿宋_GB2312"/>
                <w:i w:val="0"/>
                <w:iCs w:val="0"/>
                <w:color w:val="000000"/>
                <w:kern w:val="0"/>
                <w:sz w:val="24"/>
                <w:szCs w:val="24"/>
                <w:u w:val="none"/>
                <w:lang w:val="en-US" w:eastAsia="zh-CN" w:bidi="ar"/>
              </w:rPr>
              <w:t>36466417.52</w:t>
            </w:r>
          </w:p>
        </w:tc>
        <w:tc>
          <w:tcPr>
            <w:tcW w:w="868" w:type="dxa"/>
            <w:noWrap w:val="0"/>
            <w:vAlign w:val="center"/>
          </w:tcPr>
          <w:p>
            <w:pPr>
              <w:widowControl/>
              <w:spacing w:line="240" w:lineRule="auto"/>
              <w:ind w:firstLine="0" w:firstLineChars="0"/>
              <w:jc w:val="center"/>
              <w:rPr>
                <w:rFonts w:hint="eastAsia" w:ascii="仿宋_GB2312" w:hAnsi="仿宋_GB2312" w:eastAsia="仿宋_GB2312" w:cs="仿宋_GB2312"/>
                <w:color w:val="000000"/>
                <w:kern w:val="0"/>
                <w:sz w:val="24"/>
                <w:szCs w:val="24"/>
                <w:highlight w:val="none"/>
                <w:lang w:val="en-US" w:eastAsia="zh-CN"/>
              </w:rPr>
            </w:pPr>
          </w:p>
        </w:tc>
        <w:tc>
          <w:tcPr>
            <w:tcW w:w="1819" w:type="dxa"/>
            <w:noWrap w:val="0"/>
            <w:vAlign w:val="center"/>
          </w:tcPr>
          <w:p>
            <w:pPr>
              <w:autoSpaceDN w:val="0"/>
              <w:spacing w:line="240" w:lineRule="auto"/>
              <w:ind w:firstLine="0" w:firstLineChars="0"/>
              <w:jc w:val="center"/>
              <w:textAlignment w:val="center"/>
              <w:rPr>
                <w:rFonts w:hint="eastAsia" w:ascii="仿宋_GB2312" w:hAnsi="仿宋_GB2312" w:eastAsia="仿宋_GB2312" w:cs="仿宋_GB2312"/>
                <w:color w:val="000000"/>
                <w:kern w:val="0"/>
                <w:sz w:val="24"/>
                <w:szCs w:val="24"/>
                <w:highlight w:val="none"/>
              </w:rPr>
            </w:pPr>
          </w:p>
        </w:tc>
        <w:tc>
          <w:tcPr>
            <w:tcW w:w="1701" w:type="dxa"/>
            <w:noWrap w:val="0"/>
            <w:vAlign w:val="center"/>
          </w:tcPr>
          <w:p>
            <w:pPr>
              <w:autoSpaceDN w:val="0"/>
              <w:spacing w:line="240" w:lineRule="auto"/>
              <w:ind w:firstLine="0" w:firstLineChars="0"/>
              <w:jc w:val="center"/>
              <w:textAlignment w:val="center"/>
              <w:rPr>
                <w:rFonts w:hint="eastAsia" w:ascii="仿宋_GB2312" w:hAnsi="仿宋_GB2312" w:eastAsia="仿宋_GB2312" w:cs="仿宋_GB2312"/>
                <w:color w:val="000000"/>
                <w:kern w:val="0"/>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8778" w:type="dxa"/>
            <w:gridSpan w:val="6"/>
            <w:noWrap w:val="0"/>
            <w:vAlign w:val="center"/>
          </w:tcPr>
          <w:p>
            <w:pPr>
              <w:widowControl/>
              <w:spacing w:line="240" w:lineRule="auto"/>
              <w:ind w:left="0" w:leftChars="0" w:right="0" w:rightChars="0" w:firstLine="0" w:firstLineChars="0"/>
              <w:jc w:val="both"/>
              <w:rPr>
                <w:rFonts w:hint="eastAsia" w:ascii="仿宋_GB2312" w:hAnsi="仿宋_GB2312" w:eastAsia="仿宋_GB2312" w:cs="仿宋_GB2312"/>
                <w:color w:val="000000"/>
                <w:kern w:val="0"/>
                <w:sz w:val="24"/>
                <w:szCs w:val="24"/>
                <w:highlight w:val="none"/>
              </w:rPr>
            </w:pPr>
            <w:r>
              <w:rPr>
                <w:rFonts w:hint="eastAsia" w:ascii="仿宋_GB2312" w:hAnsi="仿宋_GB2312" w:eastAsia="仿宋_GB2312" w:cs="仿宋_GB2312"/>
                <w:i w:val="0"/>
                <w:iCs w:val="0"/>
                <w:color w:val="000000"/>
                <w:kern w:val="0"/>
                <w:sz w:val="24"/>
                <w:szCs w:val="24"/>
                <w:u w:val="none"/>
                <w:lang w:val="en-US" w:eastAsia="zh-CN" w:bidi="ar"/>
              </w:rPr>
              <w:t>开采矿种：建筑用砂岩，开采方式：露天开采，拟设生产规模：5万立方米/年，拟划矿区面积0.0736km</w:t>
            </w:r>
            <w:r>
              <w:rPr>
                <w:rFonts w:hint="eastAsia" w:ascii="仿宋_GB2312" w:hAnsi="仿宋_GB2312" w:eastAsia="仿宋_GB2312" w:cs="仿宋_GB2312"/>
                <w:i w:val="0"/>
                <w:iCs w:val="0"/>
                <w:color w:val="000000"/>
                <w:kern w:val="0"/>
                <w:sz w:val="24"/>
                <w:szCs w:val="24"/>
                <w:u w:val="none"/>
                <w:vertAlign w:val="superscript"/>
                <w:lang w:val="en-US" w:eastAsia="zh-CN" w:bidi="ar"/>
              </w:rPr>
              <w:t>2</w:t>
            </w:r>
            <w:r>
              <w:rPr>
                <w:rFonts w:hint="eastAsia" w:ascii="仿宋_GB2312" w:hAnsi="仿宋_GB2312" w:eastAsia="仿宋_GB2312" w:cs="仿宋_GB2312"/>
                <w:i w:val="0"/>
                <w:iCs w:val="0"/>
                <w:color w:val="000000"/>
                <w:kern w:val="0"/>
                <w:sz w:val="24"/>
                <w:szCs w:val="24"/>
                <w:u w:val="none"/>
                <w:lang w:val="en-US" w:eastAsia="zh-CN" w:bidi="ar"/>
              </w:rPr>
              <w:t>，拟设开采标高为+585m～+480m。</w:t>
            </w:r>
          </w:p>
        </w:tc>
      </w:tr>
    </w:tbl>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kern w:val="0"/>
          <w:szCs w:val="21"/>
        </w:rPr>
        <w:t xml:space="preserve">二、出让人、交易平台联系方式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（一）出让人 </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本宗采矿权出让人为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丰都县三合街道平都大道西段295号</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秦老师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lang w:val="en-US" w:eastAsia="zh-CN"/>
        </w:rPr>
        <w:t>023-70702538</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b/>
          <w:bCs/>
          <w:szCs w:val="21"/>
        </w:rPr>
      </w:pPr>
      <w:r>
        <w:rPr>
          <w:rFonts w:ascii="Times New Roman" w:hAnsi="Times New Roman" w:eastAsia="宋体" w:cs="Times New Roman"/>
          <w:kern w:val="0"/>
          <w:szCs w:val="21"/>
        </w:rPr>
        <w:t xml:space="preserve">（二）交易平台 </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本宗采矿权交易平台为</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kern w:val="0"/>
          <w:szCs w:val="21"/>
        </w:rPr>
        <w:t>地址：</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kern w:val="0"/>
          <w:szCs w:val="21"/>
        </w:rPr>
        <w:t>，</w:t>
      </w:r>
    </w:p>
    <w:p>
      <w:pPr>
        <w:spacing w:line="360" w:lineRule="exact"/>
        <w:ind w:firstLine="420" w:firstLineChars="200"/>
        <w:rPr>
          <w:rFonts w:ascii="Times New Roman" w:hAnsi="Times New Roman" w:eastAsia="宋体" w:cs="Times New Roman"/>
          <w:kern w:val="0"/>
          <w:szCs w:val="21"/>
        </w:rPr>
      </w:pPr>
      <w:r>
        <w:rPr>
          <w:rFonts w:ascii="Times New Roman" w:hAnsi="Times New Roman" w:eastAsia="宋体" w:cs="Times New Roman"/>
          <w:kern w:val="0"/>
          <w:szCs w:val="21"/>
        </w:rPr>
        <w:t>联系人：</w:t>
      </w:r>
      <w:r>
        <w:rPr>
          <w:rFonts w:hint="eastAsia" w:ascii="Times New Roman" w:hAnsi="Times New Roman" w:eastAsia="宋体" w:cs="Times New Roman"/>
          <w:kern w:val="0"/>
          <w:szCs w:val="21"/>
          <w:lang w:val="en-US" w:eastAsia="zh-CN"/>
        </w:rPr>
        <w:t>彭老师</w:t>
      </w:r>
      <w:r>
        <w:rPr>
          <w:rFonts w:ascii="Times New Roman" w:hAnsi="Times New Roman" w:eastAsia="宋体" w:cs="Times New Roman"/>
          <w:kern w:val="0"/>
          <w:szCs w:val="21"/>
        </w:rPr>
        <w:t>，联系电话</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rPr>
        <w:t>023-707318</w:t>
      </w:r>
      <w:r>
        <w:rPr>
          <w:rFonts w:hint="eastAsia" w:ascii="Times New Roman" w:hAnsi="Times New Roman" w:eastAsia="宋体" w:cs="Times New Roman"/>
          <w:szCs w:val="21"/>
          <w:lang w:val="en-US" w:eastAsia="zh-CN"/>
        </w:rPr>
        <w:t>00</w:t>
      </w:r>
      <w:r>
        <w:rPr>
          <w:rFonts w:ascii="Times New Roman" w:hAnsi="Times New Roman" w:eastAsia="宋体" w:cs="Times New Roman"/>
          <w:kern w:val="0"/>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三、竞买申请人准入条件</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（一）竞买申请人须为营利法人；</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（二）竞买申请人属于以下情形之一的不得参与竞买：</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在自然资源部矿业权人勘查开采信息公示系统的“矿业权人异常名录”“矿业权人严重违法名单”内；</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2.通过“信用中国”查询，在自然资源部联合惩戒备忘录或重庆市信用惩戒严重失信主体“黑名单”内限制禁止参与矿业权出让的；</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3.被吊销采矿许可证</w:t>
      </w:r>
      <w:r>
        <w:rPr>
          <w:rFonts w:hint="eastAsia" w:ascii="Times New Roman" w:hAnsi="Times New Roman" w:eastAsia="宋体" w:cs="Times New Roman"/>
          <w:szCs w:val="21"/>
          <w:lang w:val="en-US" w:eastAsia="zh-CN"/>
        </w:rPr>
        <w:t>且自吊销之日起未满</w:t>
      </w:r>
      <w:r>
        <w:rPr>
          <w:rFonts w:ascii="Times New Roman" w:hAnsi="Times New Roman" w:eastAsia="宋体" w:cs="Times New Roman"/>
          <w:szCs w:val="21"/>
        </w:rPr>
        <w:t>2年</w:t>
      </w:r>
      <w:r>
        <w:rPr>
          <w:rFonts w:hint="eastAsia" w:ascii="Times New Roman" w:hAnsi="Times New Roman" w:eastAsia="宋体" w:cs="Times New Roman"/>
          <w:szCs w:val="21"/>
          <w:lang w:val="en-US" w:eastAsia="zh-CN"/>
        </w:rPr>
        <w:t>的</w:t>
      </w:r>
      <w:r>
        <w:rPr>
          <w:rFonts w:ascii="Times New Roman" w:hAnsi="Times New Roman" w:eastAsia="宋体" w:cs="Times New Roman"/>
          <w:szCs w:val="21"/>
        </w:rPr>
        <w:t>。</w:t>
      </w:r>
    </w:p>
    <w:p>
      <w:pPr>
        <w:spacing w:line="360" w:lineRule="exact"/>
        <w:ind w:firstLine="422" w:firstLineChars="200"/>
        <w:rPr>
          <w:rFonts w:ascii="Times New Roman" w:hAnsi="Times New Roman" w:eastAsia="宋体" w:cs="Times New Roman"/>
          <w:b/>
          <w:bCs/>
          <w:szCs w:val="21"/>
        </w:rPr>
      </w:pPr>
      <w:r>
        <w:rPr>
          <w:rFonts w:ascii="Times New Roman" w:hAnsi="Times New Roman" w:eastAsia="宋体" w:cs="Times New Roman"/>
          <w:b/>
          <w:bCs/>
          <w:szCs w:val="21"/>
        </w:rPr>
        <w:t>四、报名申请</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本次公开出让的采矿权采取现场报名方式：</w:t>
      </w:r>
    </w:p>
    <w:p>
      <w:pPr>
        <w:spacing w:line="360" w:lineRule="exact"/>
        <w:ind w:firstLine="420" w:firstLineChars="200"/>
        <w:rPr>
          <w:rFonts w:hint="eastAsia" w:ascii="Times New Roman" w:hAnsi="Times New Roman" w:eastAsia="宋体" w:cs="Times New Roman"/>
          <w:szCs w:val="21"/>
          <w:highlight w:val="none"/>
          <w:lang w:val="en-US" w:eastAsia="zh-CN"/>
        </w:rPr>
      </w:pPr>
      <w:r>
        <w:rPr>
          <w:rFonts w:ascii="Times New Roman" w:hAnsi="Times New Roman" w:eastAsia="宋体" w:cs="Times New Roman"/>
          <w:szCs w:val="21"/>
          <w:highlight w:val="none"/>
        </w:rPr>
        <w:t>（一）报名时限：</w:t>
      </w:r>
      <w:r>
        <w:rPr>
          <w:rFonts w:hint="eastAsia" w:ascii="Times New Roman" w:hAnsi="Times New Roman" w:eastAsia="宋体" w:cs="Times New Roman"/>
          <w:szCs w:val="21"/>
          <w:highlight w:val="none"/>
          <w:lang w:val="en-US" w:eastAsia="zh-CN"/>
        </w:rPr>
        <w:t>2024年4月8日9：00-2024年5月8日17:00。</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（二）申请资料</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《竞买申请书》（原件1份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）（附件一）；</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法人不能亲自参加的应提供《授权委托书》（原件1份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）（附件三）；</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竞买申请人签署意见的《出让文件》（原件1份</w:t>
      </w:r>
      <w:r>
        <w:rPr>
          <w:rFonts w:hint="eastAsia" w:ascii="Times New Roman" w:hAnsi="Times New Roman" w:eastAsia="宋体" w:cs="Times New Roman"/>
          <w:szCs w:val="21"/>
          <w:lang w:val="en-US" w:eastAsia="zh-CN"/>
        </w:rPr>
        <w:t>加盖竞买人鲜章</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（三）现场报名</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申请人可于报名</w:t>
      </w:r>
      <w:r>
        <w:rPr>
          <w:rFonts w:hint="eastAsia" w:ascii="Times New Roman" w:hAnsi="Times New Roman" w:eastAsia="宋体" w:cs="Times New Roman"/>
          <w:szCs w:val="21"/>
          <w:lang w:val="en-US" w:eastAsia="zh-CN"/>
        </w:rPr>
        <w:t>时</w:t>
      </w:r>
      <w:r>
        <w:rPr>
          <w:rFonts w:ascii="Times New Roman" w:hAnsi="Times New Roman" w:eastAsia="宋体" w:cs="Times New Roman"/>
          <w:szCs w:val="21"/>
        </w:rPr>
        <w:t>限内</w:t>
      </w:r>
      <w:r>
        <w:rPr>
          <w:rFonts w:hint="eastAsia" w:ascii="Times New Roman" w:hAnsi="Times New Roman" w:eastAsia="宋体" w:cs="Times New Roman"/>
          <w:szCs w:val="21"/>
          <w:lang w:val="en-US" w:eastAsia="zh-CN"/>
        </w:rPr>
        <w:t>分别</w:t>
      </w:r>
      <w:r>
        <w:rPr>
          <w:rFonts w:ascii="Times New Roman" w:hAnsi="Times New Roman" w:eastAsia="宋体" w:cs="Times New Roman"/>
          <w:szCs w:val="21"/>
        </w:rPr>
        <w:t>足额交纳竞买保证金</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资产转接金</w:t>
      </w:r>
      <w:r>
        <w:rPr>
          <w:rFonts w:hint="eastAsia" w:ascii="Times New Roman" w:hAnsi="Times New Roman" w:eastAsia="宋体" w:cs="Times New Roman"/>
          <w:szCs w:val="21"/>
          <w:lang w:eastAsia="zh-CN"/>
        </w:rPr>
        <w:t>）</w:t>
      </w:r>
      <w:r>
        <w:rPr>
          <w:rFonts w:ascii="Times New Roman" w:hAnsi="Times New Roman" w:eastAsia="宋体" w:cs="Times New Roman"/>
          <w:szCs w:val="21"/>
        </w:rPr>
        <w:t>到指定账户，并持相应</w:t>
      </w:r>
      <w:r>
        <w:rPr>
          <w:rFonts w:hint="eastAsia" w:ascii="Times New Roman" w:hAnsi="Times New Roman" w:eastAsia="宋体" w:cs="Times New Roman"/>
          <w:szCs w:val="21"/>
        </w:rPr>
        <w:t>报名纸质件资料</w:t>
      </w:r>
      <w:r>
        <w:rPr>
          <w:rFonts w:ascii="Times New Roman" w:hAnsi="Times New Roman" w:eastAsia="宋体" w:cs="Times New Roman"/>
          <w:szCs w:val="21"/>
        </w:rPr>
        <w:t>到</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公共资源交易平台</w:t>
      </w:r>
      <w:r>
        <w:rPr>
          <w:rFonts w:ascii="Times New Roman" w:hAnsi="Times New Roman" w:eastAsia="宋体" w:cs="Times New Roman"/>
          <w:szCs w:val="21"/>
        </w:rPr>
        <w:t>提交报名申请。</w:t>
      </w:r>
      <w:r>
        <w:rPr>
          <w:rFonts w:hint="eastAsia" w:ascii="Times New Roman" w:hAnsi="Times New Roman" w:eastAsia="宋体" w:cs="Times New Roman"/>
          <w:szCs w:val="21"/>
        </w:rPr>
        <w:t>提交复印件的应于报名时提交原件供核对。</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报名地点：</w:t>
      </w:r>
      <w:r>
        <w:rPr>
          <w:rFonts w:hint="eastAsia" w:ascii="Times New Roman" w:hAnsi="Times New Roman" w:eastAsia="宋体" w:cs="Times New Roman"/>
          <w:szCs w:val="21"/>
        </w:rPr>
        <w:t>丰都县三合街道平都大道西段50号二楼</w:t>
      </w:r>
      <w:r>
        <w:rPr>
          <w:rFonts w:ascii="Times New Roman" w:hAnsi="Times New Roman" w:eastAsia="宋体" w:cs="Times New Roman"/>
          <w:szCs w:val="21"/>
        </w:rPr>
        <w:t>。</w:t>
      </w:r>
    </w:p>
    <w:p>
      <w:pPr>
        <w:spacing w:line="360" w:lineRule="exact"/>
        <w:ind w:firstLine="420" w:firstLineChars="200"/>
        <w:rPr>
          <w:rFonts w:ascii="Times New Roman" w:hAnsi="Times New Roman" w:eastAsia="宋体" w:cs="Times New Roman"/>
          <w:szCs w:val="21"/>
        </w:rPr>
      </w:pPr>
      <w:r>
        <w:rPr>
          <w:rFonts w:ascii="Times New Roman" w:hAnsi="Times New Roman" w:eastAsia="宋体" w:cs="Times New Roman"/>
          <w:szCs w:val="21"/>
        </w:rPr>
        <w:t>联系人：</w:t>
      </w:r>
      <w:r>
        <w:rPr>
          <w:rFonts w:hint="eastAsia" w:ascii="Times New Roman" w:hAnsi="Times New Roman" w:eastAsia="宋体" w:cs="Times New Roman"/>
          <w:kern w:val="0"/>
          <w:szCs w:val="21"/>
          <w:lang w:val="en-US" w:eastAsia="zh-CN"/>
        </w:rPr>
        <w:t>彭老师</w:t>
      </w:r>
      <w:r>
        <w:rPr>
          <w:rFonts w:ascii="Times New Roman" w:hAnsi="Times New Roman" w:eastAsia="宋体" w:cs="Times New Roman"/>
          <w:kern w:val="0"/>
          <w:szCs w:val="21"/>
        </w:rPr>
        <w:t>，联系电话</w:t>
      </w:r>
      <w:r>
        <w:rPr>
          <w:rFonts w:hint="eastAsia" w:ascii="Times New Roman" w:hAnsi="Times New Roman" w:eastAsia="宋体" w:cs="Times New Roman"/>
          <w:kern w:val="0"/>
          <w:szCs w:val="21"/>
          <w:lang w:eastAsia="zh-CN"/>
        </w:rPr>
        <w:t>：</w:t>
      </w:r>
      <w:r>
        <w:rPr>
          <w:rFonts w:hint="eastAsia" w:ascii="Times New Roman" w:hAnsi="Times New Roman" w:eastAsia="宋体" w:cs="Times New Roman"/>
          <w:szCs w:val="21"/>
        </w:rPr>
        <w:t>023-707318</w:t>
      </w:r>
      <w:r>
        <w:rPr>
          <w:rFonts w:hint="eastAsia" w:ascii="Times New Roman" w:hAnsi="Times New Roman" w:eastAsia="宋体" w:cs="Times New Roman"/>
          <w:szCs w:val="21"/>
          <w:lang w:val="en-US" w:eastAsia="zh-CN"/>
        </w:rPr>
        <w:t>00</w:t>
      </w:r>
    </w:p>
    <w:p>
      <w:pPr>
        <w:numPr>
          <w:ilvl w:val="0"/>
          <w:numId w:val="1"/>
        </w:num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保证金的交纳及相关规定</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 xml:space="preserve">保证金户名：丰都县兴丰资产管理有限公司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开户行：中国建设银行丰都支行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账号：50050129370000000120</w:t>
      </w:r>
    </w:p>
    <w:p>
      <w:pPr>
        <w:spacing w:line="3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lang w:val="en-US" w:eastAsia="zh-CN"/>
        </w:rPr>
        <w:t>资产转接</w:t>
      </w:r>
      <w:r>
        <w:rPr>
          <w:rFonts w:hint="eastAsia" w:ascii="Times New Roman" w:hAnsi="Times New Roman" w:eastAsia="宋体" w:cs="Times New Roman"/>
          <w:szCs w:val="21"/>
        </w:rPr>
        <w:t xml:space="preserve">金户名：丰都县兴丰资产管理有限公司        </w:t>
      </w:r>
    </w:p>
    <w:p>
      <w:pPr>
        <w:spacing w:line="360" w:lineRule="exact"/>
        <w:ind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 xml:space="preserve">开户行：中国建设银行丰都支行 </w:t>
      </w:r>
    </w:p>
    <w:p>
      <w:pPr>
        <w:spacing w:line="360" w:lineRule="exact"/>
        <w:ind w:firstLine="420" w:firstLineChars="200"/>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账号：50050129370000000120</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szCs w:val="21"/>
        </w:rPr>
      </w:pPr>
      <w:r>
        <w:rPr>
          <w:rFonts w:hint="eastAsia" w:ascii="Times New Roman" w:hAnsi="Times New Roman" w:eastAsia="宋体" w:cs="Times New Roman"/>
          <w:szCs w:val="21"/>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但不计利息）。</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ascii="Times New Roman" w:hAnsi="Times New Roman" w:eastAsia="宋体" w:cs="Times New Roman"/>
          <w:b/>
          <w:bCs/>
          <w:szCs w:val="21"/>
        </w:rPr>
      </w:pPr>
      <w:r>
        <w:rPr>
          <w:rFonts w:ascii="Times New Roman" w:hAnsi="Times New Roman" w:eastAsia="宋体" w:cs="Times New Roman"/>
          <w:b/>
          <w:bCs/>
          <w:szCs w:val="21"/>
        </w:rPr>
        <w:t>五、确定竞得人的标准和方法</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szCs w:val="21"/>
          <w:highlight w:val="none"/>
          <w:lang w:eastAsia="zh-CN"/>
        </w:rPr>
      </w:pPr>
      <w:r>
        <w:rPr>
          <w:rFonts w:ascii="Times New Roman" w:hAnsi="Times New Roman" w:eastAsia="宋体" w:cs="Times New Roman"/>
          <w:szCs w:val="21"/>
          <w:highlight w:val="none"/>
        </w:rPr>
        <w:t>（一）</w:t>
      </w:r>
      <w:r>
        <w:rPr>
          <w:rFonts w:hint="eastAsia" w:ascii="Times New Roman" w:hAnsi="Times New Roman" w:eastAsia="宋体" w:cs="Times New Roman"/>
          <w:szCs w:val="21"/>
          <w:highlight w:val="none"/>
          <w:lang w:val="en-US" w:eastAsia="zh-CN"/>
        </w:rPr>
        <w:t>拍卖</w:t>
      </w:r>
      <w:r>
        <w:rPr>
          <w:rFonts w:hint="eastAsia" w:ascii="Times New Roman" w:hAnsi="Times New Roman" w:eastAsia="宋体" w:cs="Times New Roman"/>
          <w:szCs w:val="21"/>
          <w:highlight w:val="none"/>
        </w:rPr>
        <w:t>时间：</w:t>
      </w:r>
      <w:r>
        <w:rPr>
          <w:rFonts w:hint="eastAsia" w:ascii="Times New Roman" w:hAnsi="Times New Roman" w:eastAsia="宋体" w:cs="Times New Roman"/>
          <w:szCs w:val="21"/>
          <w:highlight w:val="none"/>
          <w:lang w:val="en-US" w:eastAsia="zh-CN"/>
        </w:rPr>
        <w:t>2024年5月9日10：00--12：00。</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（二）</w:t>
      </w:r>
      <w:r>
        <w:rPr>
          <w:rFonts w:ascii="Times New Roman" w:hAnsi="Times New Roman" w:eastAsia="宋体" w:cs="Times New Roman"/>
          <w:szCs w:val="21"/>
          <w:highlight w:val="none"/>
        </w:rPr>
        <w:t>本次</w:t>
      </w:r>
      <w:r>
        <w:rPr>
          <w:rFonts w:hint="eastAsia" w:ascii="Times New Roman" w:hAnsi="Times New Roman" w:eastAsia="宋体" w:cs="Times New Roman"/>
          <w:szCs w:val="21"/>
          <w:highlight w:val="none"/>
        </w:rPr>
        <w:t>拍卖</w:t>
      </w:r>
      <w:r>
        <w:rPr>
          <w:rFonts w:ascii="Times New Roman" w:hAnsi="Times New Roman" w:eastAsia="宋体" w:cs="Times New Roman"/>
          <w:szCs w:val="21"/>
          <w:highlight w:val="none"/>
        </w:rPr>
        <w:t>出让</w:t>
      </w:r>
      <w:r>
        <w:rPr>
          <w:rFonts w:hint="eastAsia" w:ascii="Times New Roman" w:hAnsi="Times New Roman" w:eastAsia="宋体" w:cs="Times New Roman"/>
          <w:szCs w:val="21"/>
          <w:highlight w:val="none"/>
          <w:lang w:val="en-US" w:eastAsia="zh-CN"/>
        </w:rPr>
        <w:t>底价为1065万元</w:t>
      </w:r>
      <w:r>
        <w:rPr>
          <w:rFonts w:ascii="Times New Roman" w:hAnsi="Times New Roman" w:eastAsia="宋体" w:cs="Times New Roman"/>
          <w:szCs w:val="21"/>
          <w:highlight w:val="none"/>
        </w:rPr>
        <w:t>，采</w:t>
      </w:r>
      <w:r>
        <w:rPr>
          <w:rFonts w:ascii="Times New Roman" w:hAnsi="Times New Roman" w:eastAsia="宋体" w:cs="Times New Roman"/>
          <w:szCs w:val="21"/>
        </w:rPr>
        <w:t>用增价报价的方式，按照价高者得原则确定竞得人。拍卖成交后的竞得人按规定即时签订《成交确认书》，成交结果在相关网站公示10个工作日。</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ascii="Times New Roman" w:hAnsi="Times New Roman" w:eastAsia="宋体" w:cs="Times New Roman"/>
          <w:b/>
          <w:bCs/>
          <w:szCs w:val="21"/>
        </w:rPr>
      </w:pPr>
      <w:r>
        <w:rPr>
          <w:rFonts w:ascii="Times New Roman" w:hAnsi="Times New Roman" w:eastAsia="宋体" w:cs="Times New Roman"/>
          <w:b/>
          <w:bCs/>
          <w:szCs w:val="21"/>
        </w:rPr>
        <w:t>六、风险提示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（二）有关该宗采矿权的用地、用水、用电、公路、环保、基础设施等工作，由竞得人自行负责解决并依法完善相关手续；</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（三）若竞得人竞得该宗采矿权后，在办理采矿登记</w:t>
      </w:r>
      <w:r>
        <w:rPr>
          <w:rFonts w:hint="eastAsia" w:ascii="Times New Roman" w:hAnsi="Times New Roman" w:eastAsia="宋体" w:cs="Times New Roman"/>
          <w:szCs w:val="21"/>
        </w:rPr>
        <w:t>前</w:t>
      </w:r>
      <w:r>
        <w:rPr>
          <w:rFonts w:ascii="Times New Roman" w:hAnsi="Times New Roman" w:eastAsia="宋体" w:cs="Times New Roman"/>
          <w:szCs w:val="21"/>
        </w:rPr>
        <w:t>进行安全、环境评价等认定为不适宜开采的，该宗采矿权按不成交处理。</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ascii="Times New Roman" w:hAnsi="Times New Roman" w:eastAsia="宋体" w:cs="Times New Roman"/>
          <w:b/>
          <w:bCs/>
          <w:szCs w:val="21"/>
        </w:rPr>
      </w:pPr>
      <w:r>
        <w:rPr>
          <w:rFonts w:ascii="Times New Roman" w:hAnsi="Times New Roman" w:eastAsia="宋体" w:cs="Times New Roman"/>
          <w:b/>
          <w:bCs/>
          <w:szCs w:val="21"/>
        </w:rPr>
        <w:t>七、违约责任、公共资源交易领域失信联合惩戒相关提示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（二）有下列情形之一的，视为竞买人、竞得人违约，竞得结果无效，并将其列入失信联合惩戒名单并承担相当于竞买保证金的违约金，出让方有权不再签订出让合同或解除合同：</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1.竞买人之间串通报价，损害国家利益、社会公共利益或者他人合法权益的；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2.竞买人弄虚作假，骗取交易资格或竞得的；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3.采取行贿或其他不正当手段竞得的；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4.竞得人逾期不签订或者拒绝签订成交确认书的；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5.竞得人逾期不签订或者拒绝签订出让合同的；</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i/>
          <w:szCs w:val="21"/>
          <w:u w:val="single"/>
        </w:rPr>
      </w:pPr>
      <w:r>
        <w:rPr>
          <w:rFonts w:ascii="Times New Roman" w:hAnsi="Times New Roman" w:eastAsia="宋体" w:cs="Times New Roman"/>
          <w:szCs w:val="21"/>
        </w:rPr>
        <w:t>6.其他依法应当认定为违约的情形。</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ascii="Times New Roman" w:hAnsi="Times New Roman" w:eastAsia="宋体" w:cs="Times New Roman"/>
          <w:b/>
          <w:bCs/>
          <w:szCs w:val="21"/>
        </w:rPr>
      </w:pPr>
      <w:r>
        <w:rPr>
          <w:rFonts w:ascii="Times New Roman" w:hAnsi="Times New Roman" w:eastAsia="宋体" w:cs="Times New Roman"/>
          <w:b/>
          <w:bCs/>
          <w:szCs w:val="21"/>
        </w:rPr>
        <w:t>八、出让合同签订事宜说明</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hint="eastAsia" w:ascii="Times New Roman" w:hAnsi="Times New Roman" w:eastAsia="宋体" w:cs="Times New Roman"/>
          <w:szCs w:val="21"/>
        </w:rPr>
        <w:t>竞得人应在取得成交确认书后的</w:t>
      </w:r>
      <w:r>
        <w:rPr>
          <w:rFonts w:ascii="Times New Roman" w:hAnsi="Times New Roman" w:eastAsia="宋体" w:cs="Times New Roman"/>
          <w:szCs w:val="21"/>
        </w:rPr>
        <w:t>15个工作日内，持成交确认书、合同签订申请书及其他相关资料向出让人申请签订《重庆市</w:t>
      </w:r>
      <w:r>
        <w:rPr>
          <w:rFonts w:hint="eastAsia" w:ascii="Times New Roman" w:hAnsi="Times New Roman" w:eastAsia="宋体" w:cs="Times New Roman"/>
          <w:szCs w:val="21"/>
        </w:rPr>
        <w:t>采</w:t>
      </w:r>
      <w:r>
        <w:rPr>
          <w:rFonts w:ascii="Times New Roman" w:hAnsi="Times New Roman" w:eastAsia="宋体" w:cs="Times New Roman"/>
          <w:szCs w:val="21"/>
        </w:rPr>
        <w:t>矿权出让合同》。成交结果公示期满无异议的，竞得人应于取得成交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szCs w:val="21"/>
        </w:rPr>
        <w:t>采</w:t>
      </w:r>
      <w:r>
        <w:rPr>
          <w:rFonts w:ascii="Times New Roman" w:hAnsi="Times New Roman" w:eastAsia="宋体" w:cs="Times New Roman"/>
          <w:szCs w:val="21"/>
        </w:rPr>
        <w:t>矿权。合同签订申请资料如下：</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1</w:t>
      </w:r>
      <w:r>
        <w:rPr>
          <w:rFonts w:hint="eastAsia" w:ascii="Times New Roman" w:hAnsi="Times New Roman" w:eastAsia="宋体" w:cs="Times New Roman"/>
          <w:szCs w:val="21"/>
        </w:rPr>
        <w:t>.</w:t>
      </w:r>
      <w:r>
        <w:rPr>
          <w:rFonts w:ascii="Times New Roman" w:hAnsi="Times New Roman" w:eastAsia="宋体" w:cs="Times New Roman"/>
          <w:szCs w:val="21"/>
        </w:rPr>
        <w:t>采矿权出让合同签订申请书（原件1份）；</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2</w:t>
      </w:r>
      <w:r>
        <w:rPr>
          <w:rFonts w:hint="eastAsia" w:ascii="Times New Roman" w:hAnsi="Times New Roman" w:eastAsia="宋体" w:cs="Times New Roman"/>
          <w:szCs w:val="21"/>
        </w:rPr>
        <w:t>.</w:t>
      </w:r>
      <w:r>
        <w:rPr>
          <w:rFonts w:ascii="Times New Roman" w:hAnsi="Times New Roman" w:eastAsia="宋体" w:cs="Times New Roman"/>
          <w:szCs w:val="21"/>
        </w:rPr>
        <w:t>采矿权成交确认书（复印件1份）；</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3</w:t>
      </w:r>
      <w:r>
        <w:rPr>
          <w:rFonts w:hint="eastAsia" w:ascii="Times New Roman" w:hAnsi="Times New Roman" w:eastAsia="宋体" w:cs="Times New Roman"/>
          <w:szCs w:val="21"/>
        </w:rPr>
        <w:t>.</w:t>
      </w:r>
      <w:r>
        <w:rPr>
          <w:rFonts w:ascii="Times New Roman" w:hAnsi="Times New Roman" w:eastAsia="宋体" w:cs="Times New Roman"/>
          <w:szCs w:val="21"/>
        </w:rPr>
        <w:t>工商营业执照副本（复印件1份）；</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4</w:t>
      </w:r>
      <w:r>
        <w:rPr>
          <w:rFonts w:hint="eastAsia" w:ascii="Times New Roman" w:hAnsi="Times New Roman" w:eastAsia="宋体" w:cs="Times New Roman"/>
          <w:szCs w:val="21"/>
        </w:rPr>
        <w:t>.</w:t>
      </w:r>
      <w:r>
        <w:rPr>
          <w:rFonts w:ascii="Times New Roman" w:hAnsi="Times New Roman" w:eastAsia="宋体" w:cs="Times New Roman"/>
          <w:szCs w:val="21"/>
        </w:rPr>
        <w:t>法人身份证明（复印件1份）；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法人不能亲自办理的应提供《授权委托书》（原件1份）；</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6</w:t>
      </w:r>
      <w:r>
        <w:rPr>
          <w:rFonts w:hint="eastAsia" w:ascii="Times New Roman" w:hAnsi="Times New Roman" w:eastAsia="宋体" w:cs="Times New Roman"/>
          <w:szCs w:val="21"/>
        </w:rPr>
        <w:t>.</w:t>
      </w:r>
      <w:r>
        <w:rPr>
          <w:rFonts w:ascii="Times New Roman" w:hAnsi="Times New Roman" w:eastAsia="宋体" w:cs="Times New Roman"/>
          <w:szCs w:val="21"/>
        </w:rPr>
        <w:t>受托人身份证明（复印件1份）；</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7</w:t>
      </w:r>
      <w:r>
        <w:rPr>
          <w:rFonts w:hint="eastAsia" w:ascii="Times New Roman" w:hAnsi="Times New Roman" w:eastAsia="宋体" w:cs="Times New Roman"/>
          <w:szCs w:val="21"/>
        </w:rPr>
        <w:t>.</w:t>
      </w:r>
      <w:r>
        <w:rPr>
          <w:rFonts w:ascii="Times New Roman" w:hAnsi="Times New Roman" w:eastAsia="宋体" w:cs="Times New Roman"/>
          <w:szCs w:val="21"/>
        </w:rPr>
        <w:t>按照成交结果完善的《重庆市采矿权出让合同》签章件6份（原件）。</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ascii="Times New Roman" w:hAnsi="Times New Roman" w:eastAsia="宋体" w:cs="Times New Roman"/>
          <w:b/>
          <w:szCs w:val="21"/>
        </w:rPr>
      </w:pPr>
      <w:r>
        <w:rPr>
          <w:rFonts w:ascii="Times New Roman" w:hAnsi="Times New Roman" w:eastAsia="宋体" w:cs="Times New Roman"/>
          <w:b/>
          <w:szCs w:val="21"/>
        </w:rPr>
        <w:t>九、对交易矿业权异议的处理方式</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对本次出让的采矿权存有异议的，应在公告期截止前以书面方式向</w:t>
      </w:r>
      <w:r>
        <w:rPr>
          <w:rFonts w:hint="eastAsia" w:ascii="Times New Roman" w:hAnsi="Times New Roman" w:eastAsia="宋体" w:cs="Times New Roman"/>
          <w:szCs w:val="21"/>
          <w:lang w:val="en-US" w:eastAsia="zh-CN"/>
        </w:rPr>
        <w:t>丰都县</w:t>
      </w:r>
      <w:r>
        <w:rPr>
          <w:rFonts w:ascii="Times New Roman" w:hAnsi="Times New Roman" w:eastAsia="宋体" w:cs="Times New Roman"/>
          <w:szCs w:val="21"/>
        </w:rPr>
        <w:t>规划和自然资源局提出；对出让交易程序存有异议的，应在结果公示期截止前以书面方式向</w:t>
      </w:r>
      <w:r>
        <w:rPr>
          <w:rFonts w:hint="eastAsia" w:ascii="Times New Roman" w:hAnsi="Times New Roman" w:eastAsia="宋体" w:cs="Times New Roman"/>
          <w:szCs w:val="21"/>
        </w:rPr>
        <w:t>丰都县</w:t>
      </w:r>
      <w:r>
        <w:rPr>
          <w:rFonts w:hint="eastAsia" w:ascii="Times New Roman" w:hAnsi="Times New Roman" w:eastAsia="宋体" w:cs="Times New Roman"/>
          <w:szCs w:val="21"/>
          <w:lang w:val="en-US" w:eastAsia="zh-CN"/>
        </w:rPr>
        <w:t>兴丰资产管理有限公司</w:t>
      </w:r>
      <w:r>
        <w:rPr>
          <w:rFonts w:ascii="Times New Roman" w:hAnsi="Times New Roman" w:eastAsia="宋体" w:cs="Times New Roman"/>
          <w:szCs w:val="21"/>
        </w:rPr>
        <w:t>提出。根据所提异议的具体情况，按照《矿业权出让交易规则》</w:t>
      </w:r>
      <w:r>
        <w:rPr>
          <w:rFonts w:hint="eastAsia" w:ascii="Times New Roman" w:hAnsi="Times New Roman" w:eastAsia="宋体" w:cs="Times New Roman"/>
          <w:szCs w:val="21"/>
        </w:rPr>
        <w:t>（自然资规〔</w:t>
      </w:r>
      <w:r>
        <w:rPr>
          <w:rFonts w:ascii="Times New Roman" w:hAnsi="Times New Roman" w:eastAsia="宋体" w:cs="Times New Roman"/>
          <w:szCs w:val="21"/>
        </w:rPr>
        <w:t>2023〕1号）等相关规定进行妥善处置。</w:t>
      </w:r>
    </w:p>
    <w:p>
      <w:pPr>
        <w:keepNext w:val="0"/>
        <w:keepLines w:val="0"/>
        <w:pageBreakBefore w:val="0"/>
        <w:widowControl w:val="0"/>
        <w:kinsoku/>
        <w:wordWrap/>
        <w:overflowPunct/>
        <w:topLinePunct w:val="0"/>
        <w:autoSpaceDE/>
        <w:autoSpaceDN/>
        <w:bidi w:val="0"/>
        <w:adjustRightInd/>
        <w:snapToGrid/>
        <w:spacing w:line="380" w:lineRule="exact"/>
        <w:ind w:firstLine="422" w:firstLineChars="200"/>
        <w:textAlignment w:val="auto"/>
        <w:rPr>
          <w:rFonts w:ascii="Times New Roman" w:hAnsi="Times New Roman" w:eastAsia="宋体" w:cs="Times New Roman"/>
          <w:b/>
          <w:szCs w:val="21"/>
        </w:rPr>
      </w:pPr>
      <w:r>
        <w:rPr>
          <w:rFonts w:ascii="Times New Roman" w:hAnsi="Times New Roman" w:eastAsia="宋体" w:cs="Times New Roman"/>
          <w:b/>
          <w:szCs w:val="21"/>
        </w:rPr>
        <w:t>十、其他重要提示</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（一）该采矿权为已建矿山。拟出让矿区范围与自然保护地、永久基本农田、生态保护红线等禁止限制性区域不重叠，符合“三区三线”设置要求，符合国土空间规划，无矿业权重叠，不存在采矿权纠纷。</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（二）竞得人须自行或委托编制矿山地质环境保护和土地复垦方案并通过审查，同时按照《矿山地质环境保护规定》等相关规定履行矿山地质环境保护相关义务。</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四）截止2023年12月28日，拟划矿区范围内共建筑用砂岩矿保有资源114.23万立方米（折合289万吨），其中可利用控制资源量74.94万立方米，边坡资源量13.94万立方米，工业广场压占资源量25.35万立方米，原矿区范围内已出让剩余资源量为12.1万立方米（原矿区范围内已出让的实际剩余资源储量，以现场交接时双方共同认定的储量或者共同委托第三方机构核定的储量为准），按照《采矿权评估报告》评估的资源单价4.11元/吨测算剩余储量价值，由新的竞得人在签订《采矿权成交确认书》后30个工作日内另行支付给原矿业权人。未核实以上信息的，视为竞买人对该情况完全认可，并自愿承担所有风险。</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五）本次矿业权出让是原丰都县建磊石材有限公司石板坡建筑用砂岩矿增划资源，原矿业权人相关剩余合理可用资产及权益价值已经评估核定，新竞买申请人在报名前可向丰都县规划和自然资源局索取相关评估报告并自行进行必要的现场踏勘（联系人：代老师；联系电话：70702538）。竞买人报名参加竞买即视为对评估报告内容及相关资产补偿、转接要求全部认可。新竞得人须在合同签订前与原矿业权人完成资产转接（原矿业权人竞得除外）。</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（六）竞得人在签订《成交确认书》之前按重庆市及丰都县相关文件规定的标准全额缴纳交易服务费。</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hint="eastAsia" w:ascii="Times New Roman" w:hAnsi="Times New Roman" w:eastAsia="宋体" w:cs="Times New Roman"/>
          <w:kern w:val="0"/>
          <w:szCs w:val="21"/>
        </w:rPr>
      </w:pPr>
      <w:r>
        <w:rPr>
          <w:rFonts w:hint="eastAsia" w:ascii="Times New Roman" w:hAnsi="Times New Roman" w:eastAsia="宋体" w:cs="Times New Roman"/>
          <w:kern w:val="0"/>
          <w:szCs w:val="21"/>
        </w:rPr>
        <w:t>（七）竞得人逾期未支付相关费用的，视为竞得人自愿放弃该宗采矿权，不退还竞买保证金。</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附件一：《竞买申请书》</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附件二：《授权委托书》</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附件三：重庆市采矿权出让合同（模板）</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附件四：《成交确认书》</w:t>
      </w: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right"/>
        <w:textAlignment w:val="auto"/>
        <w:rPr>
          <w:rFonts w:ascii="Times New Roman" w:hAnsi="Times New Roman" w:eastAsia="宋体" w:cs="Times New Roman"/>
          <w:szCs w:val="21"/>
        </w:rPr>
      </w:pPr>
    </w:p>
    <w:p>
      <w:pPr>
        <w:keepNext w:val="0"/>
        <w:keepLines w:val="0"/>
        <w:pageBreakBefore w:val="0"/>
        <w:widowControl w:val="0"/>
        <w:kinsoku/>
        <w:wordWrap/>
        <w:overflowPunct/>
        <w:topLinePunct w:val="0"/>
        <w:autoSpaceDE/>
        <w:autoSpaceDN/>
        <w:bidi w:val="0"/>
        <w:adjustRightInd/>
        <w:snapToGrid/>
        <w:spacing w:line="380" w:lineRule="exact"/>
        <w:ind w:firstLine="420" w:firstLineChars="200"/>
        <w:jc w:val="right"/>
        <w:textAlignment w:val="auto"/>
        <w:rPr>
          <w:rFonts w:ascii="Times New Roman" w:hAnsi="Times New Roman" w:eastAsia="宋体" w:cs="Times New Roman"/>
          <w:szCs w:val="21"/>
          <w:highlight w:val="none"/>
        </w:rPr>
      </w:pPr>
      <w:r>
        <w:rPr>
          <w:rFonts w:ascii="Times New Roman" w:hAnsi="Times New Roman" w:eastAsia="宋体" w:cs="Times New Roman"/>
          <w:szCs w:val="21"/>
          <w:highlight w:val="none"/>
        </w:rPr>
        <w:t xml:space="preserve"> </w:t>
      </w:r>
      <w:r>
        <w:rPr>
          <w:rFonts w:hint="eastAsia" w:ascii="Times New Roman" w:hAnsi="Times New Roman" w:eastAsia="宋体" w:cs="Times New Roman"/>
          <w:szCs w:val="21"/>
          <w:highlight w:val="none"/>
          <w:lang w:val="en-US" w:eastAsia="zh-CN"/>
        </w:rPr>
        <w:t>2024</w:t>
      </w:r>
      <w:r>
        <w:rPr>
          <w:rFonts w:ascii="Times New Roman" w:hAnsi="Times New Roman" w:eastAsia="宋体" w:cs="Times New Roman"/>
          <w:szCs w:val="21"/>
          <w:highlight w:val="none"/>
        </w:rPr>
        <w:t>年</w:t>
      </w:r>
      <w:r>
        <w:rPr>
          <w:rFonts w:hint="eastAsia" w:ascii="Times New Roman" w:hAnsi="Times New Roman" w:eastAsia="宋体" w:cs="Times New Roman"/>
          <w:szCs w:val="21"/>
          <w:highlight w:val="none"/>
          <w:lang w:val="en-US" w:eastAsia="zh-CN"/>
        </w:rPr>
        <w:t>4</w:t>
      </w:r>
      <w:r>
        <w:rPr>
          <w:rFonts w:ascii="Times New Roman" w:hAnsi="Times New Roman" w:eastAsia="宋体" w:cs="Times New Roman"/>
          <w:szCs w:val="21"/>
          <w:highlight w:val="none"/>
        </w:rPr>
        <w:t>月</w:t>
      </w:r>
      <w:r>
        <w:rPr>
          <w:rFonts w:hint="eastAsia" w:ascii="Times New Roman" w:hAnsi="Times New Roman" w:eastAsia="宋体" w:cs="Times New Roman"/>
          <w:szCs w:val="21"/>
          <w:highlight w:val="none"/>
          <w:lang w:val="en-US" w:eastAsia="zh-CN"/>
        </w:rPr>
        <w:t>7</w:t>
      </w:r>
      <w:bookmarkStart w:id="0" w:name="_GoBack"/>
      <w:bookmarkEnd w:id="0"/>
      <w:r>
        <w:rPr>
          <w:rFonts w:ascii="Times New Roman" w:hAnsi="Times New Roman" w:eastAsia="宋体" w:cs="Times New Roman"/>
          <w:szCs w:val="21"/>
          <w:highlight w:val="none"/>
        </w:rPr>
        <w:t>日</w:t>
      </w:r>
    </w:p>
    <w:p>
      <w:pPr>
        <w:keepNext w:val="0"/>
        <w:keepLines w:val="0"/>
        <w:pageBreakBefore w:val="0"/>
        <w:widowControl w:val="0"/>
        <w:kinsoku/>
        <w:wordWrap/>
        <w:overflowPunct/>
        <w:topLinePunct w:val="0"/>
        <w:autoSpaceDE/>
        <w:autoSpaceDN/>
        <w:bidi w:val="0"/>
        <w:adjustRightInd/>
        <w:snapToGrid/>
        <w:spacing w:line="350" w:lineRule="exact"/>
        <w:ind w:firstLine="420" w:firstLineChars="200"/>
        <w:jc w:val="right"/>
        <w:textAlignment w:val="auto"/>
        <w:rPr>
          <w:rFonts w:ascii="Times New Roman" w:hAnsi="Times New Roman" w:eastAsia="宋体" w:cs="Times New Roman"/>
          <w:szCs w:val="21"/>
          <w:highlight w:val="none"/>
        </w:rPr>
      </w:pPr>
    </w:p>
    <w:tbl>
      <w:tblPr>
        <w:tblStyle w:val="4"/>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exact"/>
        </w:trPr>
        <w:tc>
          <w:tcPr>
            <w:tcW w:w="8359" w:type="dxa"/>
          </w:tcPr>
          <w:p>
            <w:pPr>
              <w:spacing w:line="600" w:lineRule="exact"/>
              <w:rPr>
                <w:rFonts w:ascii="Times New Roman" w:hAnsi="Times New Roman" w:eastAsia="宋体" w:cs="Times New Roman"/>
                <w:szCs w:val="21"/>
              </w:rPr>
            </w:pPr>
            <w:r>
              <w:rPr>
                <w:rFonts w:ascii="Times New Roman" w:hAnsi="Times New Roman" w:eastAsia="宋体" w:cs="Times New Roman"/>
                <w:szCs w:val="21"/>
              </w:rPr>
              <w:t>竞买申请人声明：</w:t>
            </w:r>
            <w:r>
              <w:rPr>
                <w:rFonts w:ascii="Times New Roman" w:hAnsi="Times New Roman" w:eastAsia="宋体" w:cs="Times New Roman"/>
                <w:szCs w:val="21"/>
                <w:u w:val="single"/>
              </w:rPr>
              <w:t xml:space="preserve"> </w:t>
            </w:r>
            <w:r>
              <w:rPr>
                <w:rFonts w:ascii="Times New Roman" w:hAnsi="Times New Roman" w:eastAsia="宋体" w:cs="Times New Roman"/>
                <w:i/>
                <w:szCs w:val="21"/>
                <w:u w:val="single"/>
              </w:rPr>
              <w:t xml:space="preserve">（填写已自行踏勘、知晓、自愿等声明）       </w:t>
            </w: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600" w:lineRule="exact"/>
              <w:rPr>
                <w:rFonts w:ascii="Times New Roman" w:hAnsi="Times New Roman" w:eastAsia="宋体" w:cs="Times New Roman"/>
                <w:szCs w:val="21"/>
                <w:u w:val="single"/>
              </w:rPr>
            </w:pPr>
            <w:r>
              <w:rPr>
                <w:rFonts w:ascii="Times New Roman" w:hAnsi="Times New Roman" w:eastAsia="宋体" w:cs="Times New Roman"/>
                <w:szCs w:val="21"/>
                <w:u w:val="single"/>
              </w:rPr>
              <w:t xml:space="preserve">                                                                                 </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竞买申请人（盖章）：</w:t>
            </w:r>
          </w:p>
          <w:p>
            <w:pPr>
              <w:spacing w:line="520" w:lineRule="exact"/>
              <w:jc w:val="center"/>
              <w:rPr>
                <w:rFonts w:ascii="Times New Roman" w:hAnsi="Times New Roman" w:eastAsia="宋体" w:cs="Times New Roman"/>
                <w:szCs w:val="21"/>
              </w:rPr>
            </w:pPr>
            <w:r>
              <w:rPr>
                <w:rFonts w:ascii="Times New Roman" w:hAnsi="Times New Roman" w:eastAsia="宋体" w:cs="Times New Roman"/>
                <w:szCs w:val="21"/>
              </w:rPr>
              <w:t>法人代表或授权代理人（签名）：</w:t>
            </w:r>
          </w:p>
          <w:p>
            <w:pPr>
              <w:spacing w:line="240" w:lineRule="atLeast"/>
              <w:jc w:val="center"/>
              <w:rPr>
                <w:rFonts w:ascii="Times New Roman" w:hAnsi="Times New Roman" w:eastAsia="宋体" w:cs="Times New Roman"/>
                <w:szCs w:val="21"/>
              </w:rPr>
            </w:pPr>
          </w:p>
          <w:p>
            <w:pPr>
              <w:spacing w:line="240" w:lineRule="atLeast"/>
              <w:jc w:val="center"/>
              <w:rPr>
                <w:rFonts w:ascii="Times New Roman" w:hAnsi="Times New Roman" w:eastAsia="宋体" w:cs="Times New Roman"/>
                <w:szCs w:val="21"/>
              </w:rPr>
            </w:pPr>
          </w:p>
          <w:p>
            <w:pPr>
              <w:wordWrap w:val="0"/>
              <w:spacing w:line="400" w:lineRule="exact"/>
              <w:ind w:right="525" w:rightChars="250"/>
              <w:jc w:val="right"/>
              <w:rPr>
                <w:rFonts w:ascii="Times New Roman" w:hAnsi="Times New Roman" w:eastAsia="宋体" w:cs="Times New Roman"/>
                <w:szCs w:val="21"/>
              </w:rPr>
            </w:pPr>
            <w:r>
              <w:rPr>
                <w:rFonts w:ascii="Times New Roman" w:hAnsi="Times New Roman" w:eastAsia="宋体" w:cs="Times New Roman"/>
                <w:szCs w:val="21"/>
              </w:rPr>
              <w:t>年   月  日</w:t>
            </w:r>
          </w:p>
        </w:tc>
      </w:tr>
    </w:tbl>
    <w:p>
      <w:pPr>
        <w:spacing w:line="360" w:lineRule="exact"/>
        <w:jc w:val="both"/>
        <w:rPr>
          <w:rFonts w:ascii="Times New Roman" w:hAnsi="Times New Roman" w:eastAsia="宋体" w:cs="Times New Roman"/>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- 5 -</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18698"/>
    <w:multiLevelType w:val="singleLevel"/>
    <w:tmpl w:val="3181869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kNDEzMGQ0NjUyMDVmZDM2NTY2ZGFlMGI0YzlhMDEifQ=="/>
  </w:docVars>
  <w:rsids>
    <w:rsidRoot w:val="00803F35"/>
    <w:rsid w:val="000054FF"/>
    <w:rsid w:val="00034EEA"/>
    <w:rsid w:val="00041288"/>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1F002ED"/>
    <w:rsid w:val="04607DA5"/>
    <w:rsid w:val="04CE5361"/>
    <w:rsid w:val="08D26893"/>
    <w:rsid w:val="09025E61"/>
    <w:rsid w:val="09D749CF"/>
    <w:rsid w:val="0A2A67EC"/>
    <w:rsid w:val="0A381290"/>
    <w:rsid w:val="0BC6059D"/>
    <w:rsid w:val="0D2B1CC1"/>
    <w:rsid w:val="0F3A6915"/>
    <w:rsid w:val="10131A9A"/>
    <w:rsid w:val="10C13205"/>
    <w:rsid w:val="11DD0B69"/>
    <w:rsid w:val="125B164C"/>
    <w:rsid w:val="13DD0781"/>
    <w:rsid w:val="16633C4F"/>
    <w:rsid w:val="1A3F0F24"/>
    <w:rsid w:val="1BE13EE2"/>
    <w:rsid w:val="1DC74BC9"/>
    <w:rsid w:val="20CE26FE"/>
    <w:rsid w:val="246123DC"/>
    <w:rsid w:val="25FF1B5F"/>
    <w:rsid w:val="276854B7"/>
    <w:rsid w:val="2A4B6959"/>
    <w:rsid w:val="2D403D06"/>
    <w:rsid w:val="31407687"/>
    <w:rsid w:val="31FA67EA"/>
    <w:rsid w:val="32D7325B"/>
    <w:rsid w:val="33335E3D"/>
    <w:rsid w:val="355440AC"/>
    <w:rsid w:val="36FE5E8B"/>
    <w:rsid w:val="39C40770"/>
    <w:rsid w:val="3B9F796D"/>
    <w:rsid w:val="3E87334A"/>
    <w:rsid w:val="40C82788"/>
    <w:rsid w:val="41A2189A"/>
    <w:rsid w:val="420E5AAC"/>
    <w:rsid w:val="440E4B2D"/>
    <w:rsid w:val="44981C78"/>
    <w:rsid w:val="449A4B8C"/>
    <w:rsid w:val="45067836"/>
    <w:rsid w:val="47EF7816"/>
    <w:rsid w:val="48401E0D"/>
    <w:rsid w:val="4A370F82"/>
    <w:rsid w:val="4D164EC7"/>
    <w:rsid w:val="4DF050E5"/>
    <w:rsid w:val="4FA154C4"/>
    <w:rsid w:val="503C53AA"/>
    <w:rsid w:val="509C4AAE"/>
    <w:rsid w:val="50C632E0"/>
    <w:rsid w:val="522A4EC0"/>
    <w:rsid w:val="526742FE"/>
    <w:rsid w:val="52A257E7"/>
    <w:rsid w:val="56097B4E"/>
    <w:rsid w:val="5A681CF1"/>
    <w:rsid w:val="5C245B66"/>
    <w:rsid w:val="5ED9369F"/>
    <w:rsid w:val="5EF07B33"/>
    <w:rsid w:val="5F3562CC"/>
    <w:rsid w:val="60681AA9"/>
    <w:rsid w:val="61FF025D"/>
    <w:rsid w:val="695A2928"/>
    <w:rsid w:val="6B92434F"/>
    <w:rsid w:val="6D3679A7"/>
    <w:rsid w:val="737C2011"/>
    <w:rsid w:val="76674885"/>
    <w:rsid w:val="7B1457D4"/>
    <w:rsid w:val="7D2B7D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7">
    <w:name w:val="页脚 字符"/>
    <w:basedOn w:val="5"/>
    <w:link w:val="2"/>
    <w:qFormat/>
    <w:uiPriority w:val="99"/>
    <w:rPr>
      <w:sz w:val="18"/>
      <w:szCs w:val="18"/>
    </w:rPr>
  </w:style>
  <w:style w:type="character" w:customStyle="1" w:styleId="8">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3182</Words>
  <Characters>3551</Characters>
  <Lines>26</Lines>
  <Paragraphs>7</Paragraphs>
  <TotalTime>1</TotalTime>
  <ScaleCrop>false</ScaleCrop>
  <LinksUpToDate>false</LinksUpToDate>
  <CharactersWithSpaces>3868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Administrator</cp:lastModifiedBy>
  <cp:lastPrinted>2024-04-07T09:05:00Z</cp:lastPrinted>
  <dcterms:modified xsi:type="dcterms:W3CDTF">2024-04-08T02:42:27Z</dcterms:modified>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8B5FEF34E3984E8296598C1021361E84_13</vt:lpwstr>
  </property>
</Properties>
</file>