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default" w:ascii="Times New Roman" w:hAnsi="Times New Roman" w:eastAsia="方正小标宋_GBK" w:cs="Times New Roman"/>
          <w:sz w:val="28"/>
          <w:szCs w:val="28"/>
        </w:rPr>
      </w:pPr>
      <w:r>
        <w:rPr>
          <w:rFonts w:hint="default" w:ascii="Times New Roman" w:hAnsi="Times New Roman" w:eastAsia="方正小标宋_GBK" w:cs="Times New Roman"/>
          <w:sz w:val="28"/>
          <w:szCs w:val="28"/>
          <w:lang w:eastAsia="zh-CN"/>
        </w:rPr>
        <w:t>重庆市丰都县包鸾镇亭子垭村老鸦山水泥配料用砂岩矿采矿权</w:t>
      </w:r>
    </w:p>
    <w:p>
      <w:pPr>
        <w:snapToGrid w:val="0"/>
        <w:spacing w:line="600" w:lineRule="exact"/>
        <w:jc w:val="center"/>
        <w:rPr>
          <w:rFonts w:hint="default" w:ascii="Times New Roman" w:hAnsi="Times New Roman" w:eastAsia="方正小标宋_GBK" w:cs="Times New Roman"/>
          <w:sz w:val="28"/>
          <w:szCs w:val="28"/>
        </w:rPr>
      </w:pPr>
      <w:r>
        <w:rPr>
          <w:rFonts w:hint="default" w:ascii="Times New Roman" w:hAnsi="Times New Roman" w:eastAsia="方正小标宋_GBK" w:cs="Times New Roman"/>
          <w:sz w:val="28"/>
          <w:szCs w:val="28"/>
        </w:rPr>
        <w:t>拍卖出让文件</w:t>
      </w:r>
    </w:p>
    <w:p>
      <w:pPr>
        <w:wordWrap w:val="0"/>
        <w:spacing w:line="360" w:lineRule="exact"/>
        <w:jc w:val="center"/>
        <w:rPr>
          <w:rFonts w:hint="default" w:ascii="Times New Roman" w:hAnsi="Times New Roman" w:eastAsia="宋体" w:cs="Times New Roman"/>
          <w:b/>
          <w:szCs w:val="21"/>
          <w:highlight w:val="yellow"/>
          <w:lang w:val="en-US" w:eastAsia="zh-CN"/>
        </w:rPr>
      </w:pPr>
      <w:r>
        <w:rPr>
          <w:rFonts w:hint="default" w:ascii="Times New Roman" w:hAnsi="Times New Roman" w:eastAsia="宋体" w:cs="Times New Roman"/>
          <w:b/>
          <w:szCs w:val="21"/>
          <w:lang w:val="en-US" w:eastAsia="zh-CN"/>
        </w:rPr>
        <w:t xml:space="preserve">                                                  </w:t>
      </w:r>
      <w:r>
        <w:rPr>
          <w:rFonts w:hint="default" w:ascii="Times New Roman" w:hAnsi="Times New Roman" w:eastAsia="宋体" w:cs="Times New Roman"/>
          <w:b/>
          <w:szCs w:val="21"/>
        </w:rPr>
        <w:t>公告序号：</w:t>
      </w:r>
      <w:r>
        <w:rPr>
          <w:rFonts w:hint="default" w:ascii="Times New Roman" w:hAnsi="Times New Roman" w:eastAsia="宋体" w:cs="Times New Roman"/>
          <w:b/>
          <w:szCs w:val="21"/>
          <w:highlight w:val="none"/>
          <w:lang w:val="en-US" w:eastAsia="zh-CN"/>
        </w:rPr>
        <w:t>FDGC20240</w:t>
      </w:r>
      <w:del w:id="0" w:author="赵国华" w:date="2024-05-15T17:49:19Z">
        <w:r>
          <w:rPr>
            <w:rFonts w:hint="default" w:ascii="Times New Roman" w:hAnsi="Times New Roman" w:eastAsia="宋体" w:cs="Times New Roman"/>
            <w:b/>
            <w:szCs w:val="21"/>
            <w:highlight w:val="none"/>
            <w:lang w:val="en-US" w:eastAsia="zh-CN"/>
          </w:rPr>
          <w:delText>4</w:delText>
        </w:r>
      </w:del>
      <w:ins w:id="1" w:author="赵国华" w:date="2024-05-15T17:49:19Z">
        <w:r>
          <w:rPr>
            <w:rFonts w:hint="eastAsia" w:ascii="Times New Roman" w:hAnsi="Times New Roman" w:eastAsia="宋体" w:cs="Times New Roman"/>
            <w:b/>
            <w:szCs w:val="21"/>
            <w:highlight w:val="none"/>
            <w:lang w:val="en-US" w:eastAsia="zh-CN"/>
          </w:rPr>
          <w:t>5</w:t>
        </w:r>
      </w:ins>
    </w:p>
    <w:p>
      <w:pPr>
        <w:spacing w:line="360" w:lineRule="exact"/>
        <w:ind w:firstLine="489" w:firstLineChars="204"/>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为合理开发利用矿产资源，维护矿产资源的国家所有权，建立规范、开放、竞争、有序的矿业权市场，根据《矿业权出让交易规则》（自然资规〔2023〕1号）等有关规定，</w:t>
      </w:r>
      <w:r>
        <w:rPr>
          <w:rFonts w:hint="default" w:ascii="Times New Roman" w:hAnsi="Times New Roman" w:eastAsia="宋体" w:cs="Times New Roman"/>
          <w:sz w:val="24"/>
          <w:szCs w:val="24"/>
          <w:lang w:val="en-US" w:eastAsia="zh-CN"/>
        </w:rPr>
        <w:t>丰都县</w:t>
      </w:r>
      <w:r>
        <w:rPr>
          <w:rFonts w:hint="default" w:ascii="Times New Roman" w:hAnsi="Times New Roman" w:eastAsia="宋体" w:cs="Times New Roman"/>
          <w:sz w:val="24"/>
          <w:szCs w:val="24"/>
        </w:rPr>
        <w:t>规划和自然资源局决定公开拍卖出让以下采矿权，并委托丰都县兴丰资产管理有限公司负责公开出让交易环节的组织实施。</w:t>
      </w:r>
    </w:p>
    <w:p>
      <w:pPr>
        <w:spacing w:line="360" w:lineRule="exact"/>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一、出让采矿权基本情况</w:t>
      </w:r>
    </w:p>
    <w:p>
      <w:pPr>
        <w:spacing w:line="360" w:lineRule="exact"/>
        <w:ind w:firstLine="403" w:firstLineChars="168"/>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rPr>
        <w:t>（一）</w:t>
      </w:r>
      <w:r>
        <w:rPr>
          <w:rFonts w:hint="default" w:ascii="Times New Roman" w:hAnsi="Times New Roman" w:eastAsia="宋体" w:cs="Times New Roman"/>
          <w:sz w:val="24"/>
          <w:szCs w:val="24"/>
          <w:highlight w:val="none"/>
        </w:rPr>
        <w:t>公告时间：2024年</w:t>
      </w:r>
      <w:r>
        <w:rPr>
          <w:rFonts w:hint="default"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rPr>
        <w:t>日-2024年</w:t>
      </w:r>
      <w:r>
        <w:rPr>
          <w:rFonts w:hint="default"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rPr>
        <w:t>日</w:t>
      </w:r>
      <w:r>
        <w:rPr>
          <w:rFonts w:hint="default" w:ascii="Times New Roman" w:hAnsi="Times New Roman" w:eastAsia="宋体" w:cs="Times New Roman"/>
          <w:sz w:val="24"/>
          <w:szCs w:val="24"/>
          <w:highlight w:val="none"/>
          <w:lang w:val="en-US" w:eastAsia="zh-CN"/>
        </w:rPr>
        <w:t>；</w:t>
      </w:r>
    </w:p>
    <w:p>
      <w:pPr>
        <w:spacing w:line="360" w:lineRule="exact"/>
        <w:ind w:firstLine="403" w:firstLineChars="168"/>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（二）采矿权名称（暂定名）</w:t>
      </w:r>
      <w:r>
        <w:rPr>
          <w:rFonts w:hint="default" w:ascii="Times New Roman" w:hAnsi="Times New Roman" w:eastAsia="宋体" w:cs="Times New Roman"/>
          <w:sz w:val="24"/>
          <w:szCs w:val="24"/>
          <w:lang w:val="en-US" w:eastAsia="zh-CN"/>
        </w:rPr>
        <w:t>：丰都县包鸾镇亭子垭村老鸦山水泥配料用砂岩矿；</w:t>
      </w:r>
    </w:p>
    <w:p>
      <w:pPr>
        <w:spacing w:line="360" w:lineRule="exact"/>
        <w:ind w:firstLine="403" w:firstLineChars="168"/>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（三）矿山地址：丰都县包鸾镇亭子垭村；</w:t>
      </w:r>
    </w:p>
    <w:p>
      <w:pPr>
        <w:spacing w:line="360" w:lineRule="exact"/>
        <w:ind w:firstLine="403" w:firstLineChars="168"/>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（四）矿区面积：0.4499平方公里；</w:t>
      </w:r>
    </w:p>
    <w:p>
      <w:pPr>
        <w:spacing w:line="360" w:lineRule="exact"/>
        <w:ind w:firstLine="403" w:firstLineChars="168"/>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（五）开采标高：+1045米至+950米； </w:t>
      </w:r>
    </w:p>
    <w:p>
      <w:pPr>
        <w:spacing w:line="360" w:lineRule="exact"/>
        <w:ind w:firstLine="403" w:firstLineChars="168"/>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（六）开采矿种：水泥配料用砂岩矿；</w:t>
      </w:r>
    </w:p>
    <w:p>
      <w:pPr>
        <w:spacing w:line="360" w:lineRule="exact"/>
        <w:ind w:firstLine="403" w:firstLineChars="168"/>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（七）资源储量：1010.50</w:t>
      </w:r>
      <w:r>
        <w:rPr>
          <w:rFonts w:hint="default" w:ascii="Times New Roman" w:hAnsi="Times New Roman" w:eastAsia="宋体" w:cs="Times New Roman"/>
          <w:sz w:val="24"/>
          <w:szCs w:val="24"/>
          <w:lang w:val="zh-CN"/>
        </w:rPr>
        <w:t>万</w:t>
      </w:r>
      <w:r>
        <w:rPr>
          <w:rFonts w:hint="default" w:ascii="Times New Roman" w:hAnsi="Times New Roman" w:eastAsia="宋体" w:cs="Times New Roman"/>
          <w:sz w:val="24"/>
          <w:szCs w:val="24"/>
        </w:rPr>
        <w:t>吨；</w:t>
      </w:r>
    </w:p>
    <w:p>
      <w:pPr>
        <w:spacing w:line="360" w:lineRule="exact"/>
        <w:ind w:firstLine="403" w:firstLineChars="168"/>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（八）生产规模：150</w:t>
      </w:r>
      <w:r>
        <w:rPr>
          <w:rFonts w:hint="default" w:ascii="Times New Roman" w:hAnsi="Times New Roman" w:eastAsia="宋体" w:cs="Times New Roman"/>
          <w:sz w:val="24"/>
          <w:szCs w:val="24"/>
          <w:lang w:val="zh-CN"/>
        </w:rPr>
        <w:t>万</w:t>
      </w:r>
      <w:r>
        <w:rPr>
          <w:rFonts w:hint="default" w:ascii="Times New Roman" w:hAnsi="Times New Roman" w:eastAsia="宋体" w:cs="Times New Roman"/>
          <w:sz w:val="24"/>
          <w:szCs w:val="24"/>
        </w:rPr>
        <w:t>吨</w:t>
      </w:r>
      <w:r>
        <w:rPr>
          <w:rFonts w:hint="default" w:ascii="Times New Roman" w:hAnsi="Times New Roman" w:eastAsia="宋体" w:cs="Times New Roman"/>
          <w:sz w:val="24"/>
          <w:szCs w:val="24"/>
          <w:lang w:val="zh-CN"/>
        </w:rPr>
        <w:t>/年</w:t>
      </w:r>
      <w:r>
        <w:rPr>
          <w:rFonts w:hint="default" w:ascii="Times New Roman" w:hAnsi="Times New Roman" w:eastAsia="宋体" w:cs="Times New Roman"/>
          <w:sz w:val="24"/>
          <w:szCs w:val="24"/>
        </w:rPr>
        <w:t>；</w:t>
      </w:r>
    </w:p>
    <w:p>
      <w:pPr>
        <w:spacing w:line="360" w:lineRule="exact"/>
        <w:ind w:firstLine="403" w:firstLineChars="168"/>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（九）出让年限：</w:t>
      </w:r>
      <w:r>
        <w:rPr>
          <w:rFonts w:hint="eastAsia" w:ascii="Times New Roman" w:hAnsi="Times New Roman" w:eastAsia="宋体" w:cs="Times New Roman"/>
          <w:sz w:val="24"/>
          <w:szCs w:val="24"/>
          <w:highlight w:val="none"/>
          <w:lang w:val="en-US" w:eastAsia="zh-CN"/>
        </w:rPr>
        <w:t>5.5</w:t>
      </w:r>
      <w:r>
        <w:rPr>
          <w:rFonts w:hint="default" w:ascii="Times New Roman" w:hAnsi="Times New Roman" w:eastAsia="宋体" w:cs="Times New Roman"/>
          <w:sz w:val="24"/>
          <w:szCs w:val="24"/>
          <w:highlight w:val="none"/>
          <w:lang w:val="en-US" w:eastAsia="zh-CN"/>
        </w:rPr>
        <w:t>年</w:t>
      </w:r>
      <w:r>
        <w:rPr>
          <w:rFonts w:hint="default" w:ascii="Times New Roman" w:hAnsi="Times New Roman" w:eastAsia="宋体" w:cs="Times New Roman"/>
          <w:sz w:val="24"/>
          <w:szCs w:val="24"/>
          <w:highlight w:val="none"/>
        </w:rPr>
        <w:t>；</w:t>
      </w:r>
    </w:p>
    <w:p>
      <w:pPr>
        <w:spacing w:line="360" w:lineRule="exact"/>
        <w:ind w:firstLine="403" w:firstLineChars="168"/>
        <w:rPr>
          <w:rFonts w:hint="default" w:ascii="Times New Roman" w:hAnsi="Times New Roman" w:eastAsia="宋体" w:cs="Times New Roman"/>
          <w:b/>
          <w:bCs/>
          <w:sz w:val="24"/>
          <w:szCs w:val="24"/>
        </w:rPr>
      </w:pPr>
      <w:r>
        <w:rPr>
          <w:rFonts w:hint="default" w:ascii="Times New Roman" w:hAnsi="Times New Roman" w:eastAsia="宋体" w:cs="Times New Roman"/>
          <w:sz w:val="24"/>
          <w:szCs w:val="24"/>
        </w:rPr>
        <w:t>（十）出让收益起始价：2667.72</w:t>
      </w:r>
      <w:r>
        <w:rPr>
          <w:rFonts w:hint="eastAsia" w:ascii="Times New Roman" w:hAnsi="Times New Roman" w:eastAsia="宋体" w:cs="Times New Roman"/>
          <w:sz w:val="24"/>
          <w:szCs w:val="24"/>
          <w:lang w:eastAsia="zh-CN"/>
        </w:rPr>
        <w:t>万元</w:t>
      </w:r>
      <w:r>
        <w:rPr>
          <w:rFonts w:hint="default" w:ascii="Times New Roman" w:hAnsi="Times New Roman" w:eastAsia="宋体" w:cs="Times New Roman"/>
          <w:sz w:val="24"/>
          <w:szCs w:val="24"/>
        </w:rPr>
        <w:t>；</w:t>
      </w:r>
    </w:p>
    <w:p>
      <w:pPr>
        <w:spacing w:line="360" w:lineRule="exact"/>
        <w:ind w:firstLine="403" w:firstLineChars="168"/>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（十一）勘查范围坐标（2000坐标系）：</w:t>
      </w:r>
    </w:p>
    <w:tbl>
      <w:tblPr>
        <w:tblStyle w:val="5"/>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1697"/>
        <w:gridCol w:w="1671"/>
        <w:gridCol w:w="815"/>
        <w:gridCol w:w="1581"/>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505" w:type="pct"/>
            <w:noWrap w:val="0"/>
            <w:vAlign w:val="center"/>
          </w:tcPr>
          <w:p>
            <w:pPr>
              <w:spacing w:line="360" w:lineRule="exact"/>
              <w:jc w:val="center"/>
              <w:rPr>
                <w:rFonts w:hint="eastAsia"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拐点</w:t>
            </w:r>
          </w:p>
          <w:p>
            <w:pPr>
              <w:spacing w:line="360" w:lineRule="exact"/>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编号</w:t>
            </w:r>
          </w:p>
        </w:tc>
        <w:tc>
          <w:tcPr>
            <w:tcW w:w="1003" w:type="pct"/>
            <w:noWrap w:val="0"/>
            <w:vAlign w:val="center"/>
          </w:tcPr>
          <w:p>
            <w:pPr>
              <w:spacing w:line="360" w:lineRule="exact"/>
              <w:ind w:firstLine="403" w:firstLineChars="168"/>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X</w:t>
            </w:r>
          </w:p>
        </w:tc>
        <w:tc>
          <w:tcPr>
            <w:tcW w:w="988" w:type="pct"/>
            <w:noWrap w:val="0"/>
            <w:vAlign w:val="center"/>
          </w:tcPr>
          <w:p>
            <w:pPr>
              <w:spacing w:line="360" w:lineRule="exact"/>
              <w:ind w:firstLine="403" w:firstLineChars="168"/>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Y</w:t>
            </w:r>
          </w:p>
        </w:tc>
        <w:tc>
          <w:tcPr>
            <w:tcW w:w="482" w:type="pct"/>
            <w:noWrap w:val="0"/>
            <w:vAlign w:val="center"/>
          </w:tcPr>
          <w:p>
            <w:pPr>
              <w:spacing w:line="360" w:lineRule="exact"/>
              <w:jc w:val="center"/>
              <w:rPr>
                <w:rFonts w:hint="eastAsia"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拐点</w:t>
            </w:r>
          </w:p>
          <w:p>
            <w:pPr>
              <w:spacing w:line="360" w:lineRule="exact"/>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编号</w:t>
            </w:r>
          </w:p>
        </w:tc>
        <w:tc>
          <w:tcPr>
            <w:tcW w:w="935" w:type="pct"/>
            <w:noWrap w:val="0"/>
            <w:vAlign w:val="center"/>
          </w:tcPr>
          <w:p>
            <w:pPr>
              <w:spacing w:line="360" w:lineRule="exact"/>
              <w:ind w:firstLine="403" w:firstLineChars="168"/>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X</w:t>
            </w:r>
          </w:p>
        </w:tc>
        <w:tc>
          <w:tcPr>
            <w:tcW w:w="1085" w:type="pct"/>
            <w:noWrap w:val="0"/>
            <w:vAlign w:val="center"/>
          </w:tcPr>
          <w:p>
            <w:pPr>
              <w:spacing w:line="360" w:lineRule="exact"/>
              <w:ind w:firstLine="403" w:firstLineChars="168"/>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505" w:type="pct"/>
            <w:noWrap w:val="0"/>
            <w:vAlign w:val="center"/>
          </w:tcPr>
          <w:p>
            <w:pPr>
              <w:spacing w:line="360" w:lineRule="exact"/>
              <w:ind w:firstLine="0" w:firstLineChars="0"/>
              <w:jc w:val="center"/>
              <w:rPr>
                <w:rFonts w:hint="default" w:ascii="Times New Roman" w:hAnsi="Times New Roman" w:eastAsia="宋体" w:cs="Times New Roman"/>
                <w:sz w:val="24"/>
                <w:szCs w:val="24"/>
                <w:highlight w:val="none"/>
              </w:rPr>
              <w:pPrChange w:id="2" w:author="赵国华" w:date="2024-05-15T17:49:40Z">
                <w:pPr>
                  <w:spacing w:line="360" w:lineRule="exact"/>
                  <w:ind w:firstLine="403" w:firstLineChars="168"/>
                  <w:jc w:val="center"/>
                </w:pPr>
              </w:pPrChange>
            </w:pPr>
            <w:r>
              <w:rPr>
                <w:rFonts w:hint="default" w:ascii="Times New Roman" w:hAnsi="Times New Roman" w:eastAsia="宋体" w:cs="Times New Roman"/>
                <w:sz w:val="24"/>
                <w:szCs w:val="24"/>
                <w:highlight w:val="none"/>
              </w:rPr>
              <w:t>1</w:t>
            </w:r>
          </w:p>
        </w:tc>
        <w:tc>
          <w:tcPr>
            <w:tcW w:w="1003" w:type="pct"/>
            <w:noWrap w:val="0"/>
            <w:vAlign w:val="center"/>
          </w:tcPr>
          <w:p>
            <w:pPr>
              <w:spacing w:line="360" w:lineRule="exact"/>
              <w:jc w:val="center"/>
              <w:rPr>
                <w:rFonts w:hint="default" w:ascii="Times New Roman" w:hAnsi="Times New Roman" w:eastAsia="宋体" w:cs="Times New Roman"/>
                <w:sz w:val="24"/>
                <w:szCs w:val="24"/>
                <w:highlight w:val="none"/>
              </w:rPr>
              <w:pPrChange w:id="3" w:author="赵国华" w:date="2024-05-15T17:49:40Z">
                <w:pPr>
                  <w:spacing w:line="360" w:lineRule="exact"/>
                  <w:jc w:val="both"/>
                </w:pPr>
              </w:pPrChange>
            </w:pPr>
            <w:r>
              <w:rPr>
                <w:rFonts w:hint="eastAsia" w:ascii="Times New Roman" w:hAnsi="Times New Roman" w:eastAsia="宋体" w:cs="Times New Roman"/>
                <w:sz w:val="24"/>
                <w:szCs w:val="24"/>
                <w:highlight w:val="none"/>
              </w:rPr>
              <w:t>3298024.65</w:t>
            </w:r>
          </w:p>
        </w:tc>
        <w:tc>
          <w:tcPr>
            <w:tcW w:w="988" w:type="pct"/>
            <w:noWrap w:val="0"/>
            <w:vAlign w:val="center"/>
          </w:tcPr>
          <w:p>
            <w:pPr>
              <w:spacing w:line="360" w:lineRule="exact"/>
              <w:jc w:val="center"/>
              <w:rPr>
                <w:rFonts w:hint="default" w:ascii="Times New Roman" w:hAnsi="Times New Roman" w:eastAsia="宋体" w:cs="Times New Roman"/>
                <w:sz w:val="24"/>
                <w:szCs w:val="24"/>
                <w:highlight w:val="none"/>
              </w:rPr>
              <w:pPrChange w:id="4" w:author="赵国华" w:date="2024-05-15T17:49:40Z">
                <w:pPr>
                  <w:spacing w:line="360" w:lineRule="exact"/>
                  <w:jc w:val="both"/>
                </w:pPr>
              </w:pPrChange>
            </w:pPr>
            <w:r>
              <w:rPr>
                <w:rFonts w:hint="eastAsia" w:ascii="Times New Roman" w:hAnsi="Times New Roman" w:eastAsia="宋体" w:cs="Times New Roman"/>
                <w:sz w:val="24"/>
                <w:szCs w:val="24"/>
                <w:highlight w:val="none"/>
              </w:rPr>
              <w:t>36467918.65</w:t>
            </w:r>
          </w:p>
        </w:tc>
        <w:tc>
          <w:tcPr>
            <w:tcW w:w="482" w:type="pct"/>
            <w:noWrap w:val="0"/>
            <w:vAlign w:val="center"/>
          </w:tcPr>
          <w:p>
            <w:pPr>
              <w:spacing w:line="360" w:lineRule="exact"/>
              <w:ind w:firstLine="0" w:firstLineChars="0"/>
              <w:jc w:val="center"/>
              <w:rPr>
                <w:rFonts w:hint="default" w:ascii="Times New Roman" w:hAnsi="Times New Roman" w:eastAsia="宋体" w:cs="Times New Roman"/>
                <w:sz w:val="24"/>
                <w:szCs w:val="24"/>
                <w:highlight w:val="none"/>
              </w:rPr>
              <w:pPrChange w:id="5" w:author="赵国华" w:date="2024-05-15T17:49:40Z">
                <w:pPr>
                  <w:spacing w:line="360" w:lineRule="exact"/>
                  <w:ind w:firstLine="403" w:firstLineChars="168"/>
                  <w:jc w:val="center"/>
                </w:pPr>
              </w:pPrChange>
            </w:pPr>
            <w:r>
              <w:rPr>
                <w:rFonts w:hint="default" w:ascii="Times New Roman" w:hAnsi="Times New Roman" w:eastAsia="宋体" w:cs="Times New Roman"/>
                <w:sz w:val="24"/>
                <w:szCs w:val="24"/>
                <w:highlight w:val="none"/>
              </w:rPr>
              <w:t>4</w:t>
            </w:r>
          </w:p>
        </w:tc>
        <w:tc>
          <w:tcPr>
            <w:tcW w:w="935" w:type="pct"/>
            <w:noWrap w:val="0"/>
            <w:vAlign w:val="center"/>
          </w:tcPr>
          <w:p>
            <w:pPr>
              <w:spacing w:line="360" w:lineRule="exact"/>
              <w:jc w:val="center"/>
              <w:rPr>
                <w:rFonts w:hint="default" w:ascii="Times New Roman" w:hAnsi="Times New Roman" w:eastAsia="宋体" w:cs="Times New Roman"/>
                <w:sz w:val="24"/>
                <w:szCs w:val="24"/>
                <w:highlight w:val="none"/>
              </w:rPr>
              <w:pPrChange w:id="6" w:author="赵国华" w:date="2024-05-15T17:49:40Z">
                <w:pPr>
                  <w:spacing w:line="360" w:lineRule="exact"/>
                  <w:jc w:val="both"/>
                </w:pPr>
              </w:pPrChange>
            </w:pPr>
            <w:r>
              <w:rPr>
                <w:rFonts w:hint="default" w:ascii="Times New Roman" w:hAnsi="Times New Roman" w:eastAsia="宋体" w:cs="Times New Roman"/>
                <w:sz w:val="24"/>
                <w:szCs w:val="24"/>
                <w:highlight w:val="none"/>
              </w:rPr>
              <w:t>3297</w:t>
            </w:r>
            <w:r>
              <w:rPr>
                <w:rFonts w:hint="eastAsia" w:ascii="Times New Roman" w:hAnsi="Times New Roman" w:eastAsia="宋体" w:cs="Times New Roman"/>
                <w:sz w:val="24"/>
                <w:szCs w:val="24"/>
                <w:highlight w:val="none"/>
              </w:rPr>
              <w:t>222.56</w:t>
            </w:r>
          </w:p>
        </w:tc>
        <w:tc>
          <w:tcPr>
            <w:tcW w:w="1085" w:type="pct"/>
            <w:noWrap w:val="0"/>
            <w:vAlign w:val="center"/>
          </w:tcPr>
          <w:p>
            <w:pPr>
              <w:spacing w:line="360" w:lineRule="exact"/>
              <w:jc w:val="center"/>
              <w:rPr>
                <w:rFonts w:hint="default" w:ascii="Times New Roman" w:hAnsi="Times New Roman" w:eastAsia="宋体" w:cs="Times New Roman"/>
                <w:sz w:val="24"/>
                <w:szCs w:val="24"/>
                <w:highlight w:val="none"/>
              </w:rPr>
              <w:pPrChange w:id="7" w:author="赵国华" w:date="2024-05-15T17:49:40Z">
                <w:pPr>
                  <w:spacing w:line="360" w:lineRule="exact"/>
                  <w:jc w:val="both"/>
                </w:pPr>
              </w:pPrChange>
            </w:pPr>
            <w:r>
              <w:rPr>
                <w:rFonts w:hint="default" w:ascii="Times New Roman" w:hAnsi="Times New Roman" w:eastAsia="宋体" w:cs="Times New Roman"/>
                <w:sz w:val="24"/>
                <w:szCs w:val="24"/>
                <w:highlight w:val="none"/>
              </w:rPr>
              <w:t>36467</w:t>
            </w:r>
            <w:r>
              <w:rPr>
                <w:rFonts w:hint="eastAsia" w:ascii="Times New Roman" w:hAnsi="Times New Roman" w:eastAsia="宋体" w:cs="Times New Roman"/>
                <w:sz w:val="24"/>
                <w:szCs w:val="24"/>
                <w:highlight w:val="none"/>
              </w:rPr>
              <w:t>597.01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505" w:type="pct"/>
            <w:noWrap w:val="0"/>
            <w:vAlign w:val="center"/>
          </w:tcPr>
          <w:p>
            <w:pPr>
              <w:spacing w:line="360" w:lineRule="exact"/>
              <w:ind w:firstLine="0" w:firstLineChars="0"/>
              <w:jc w:val="center"/>
              <w:rPr>
                <w:rFonts w:hint="default" w:ascii="Times New Roman" w:hAnsi="Times New Roman" w:eastAsia="宋体" w:cs="Times New Roman"/>
                <w:sz w:val="24"/>
                <w:szCs w:val="24"/>
                <w:highlight w:val="none"/>
              </w:rPr>
              <w:pPrChange w:id="8" w:author="赵国华" w:date="2024-05-15T17:49:40Z">
                <w:pPr>
                  <w:spacing w:line="360" w:lineRule="exact"/>
                  <w:ind w:firstLine="403" w:firstLineChars="168"/>
                  <w:jc w:val="center"/>
                </w:pPr>
              </w:pPrChange>
            </w:pPr>
            <w:r>
              <w:rPr>
                <w:rFonts w:hint="default" w:ascii="Times New Roman" w:hAnsi="Times New Roman" w:eastAsia="宋体" w:cs="Times New Roman"/>
                <w:sz w:val="24"/>
                <w:szCs w:val="24"/>
                <w:highlight w:val="none"/>
              </w:rPr>
              <w:t>2</w:t>
            </w:r>
          </w:p>
        </w:tc>
        <w:tc>
          <w:tcPr>
            <w:tcW w:w="1003" w:type="pct"/>
            <w:noWrap w:val="0"/>
            <w:vAlign w:val="center"/>
          </w:tcPr>
          <w:p>
            <w:pPr>
              <w:spacing w:line="360" w:lineRule="exact"/>
              <w:jc w:val="center"/>
              <w:rPr>
                <w:rFonts w:hint="default" w:ascii="Times New Roman" w:hAnsi="Times New Roman" w:eastAsia="宋体" w:cs="Times New Roman"/>
                <w:sz w:val="24"/>
                <w:szCs w:val="24"/>
                <w:highlight w:val="none"/>
              </w:rPr>
              <w:pPrChange w:id="9" w:author="赵国华" w:date="2024-05-15T17:49:40Z">
                <w:pPr>
                  <w:spacing w:line="360" w:lineRule="exact"/>
                  <w:jc w:val="both"/>
                </w:pPr>
              </w:pPrChange>
            </w:pPr>
            <w:r>
              <w:rPr>
                <w:rFonts w:hint="default" w:ascii="Times New Roman" w:hAnsi="Times New Roman" w:eastAsia="宋体" w:cs="Times New Roman"/>
                <w:sz w:val="24"/>
                <w:szCs w:val="24"/>
                <w:highlight w:val="none"/>
              </w:rPr>
              <w:t>3297612.28</w:t>
            </w:r>
          </w:p>
        </w:tc>
        <w:tc>
          <w:tcPr>
            <w:tcW w:w="988" w:type="pct"/>
            <w:noWrap w:val="0"/>
            <w:vAlign w:val="center"/>
          </w:tcPr>
          <w:p>
            <w:pPr>
              <w:spacing w:line="360" w:lineRule="exact"/>
              <w:jc w:val="center"/>
              <w:rPr>
                <w:rFonts w:hint="default" w:ascii="Times New Roman" w:hAnsi="Times New Roman" w:eastAsia="宋体" w:cs="Times New Roman"/>
                <w:sz w:val="24"/>
                <w:szCs w:val="24"/>
                <w:highlight w:val="none"/>
              </w:rPr>
              <w:pPrChange w:id="10" w:author="赵国华" w:date="2024-05-15T17:49:40Z">
                <w:pPr>
                  <w:spacing w:line="360" w:lineRule="exact"/>
                  <w:jc w:val="both"/>
                </w:pPr>
              </w:pPrChange>
            </w:pPr>
            <w:r>
              <w:rPr>
                <w:rFonts w:hint="default" w:ascii="Times New Roman" w:hAnsi="Times New Roman" w:eastAsia="宋体" w:cs="Times New Roman"/>
                <w:sz w:val="24"/>
                <w:szCs w:val="24"/>
                <w:highlight w:val="none"/>
              </w:rPr>
              <w:t>36468399.39</w:t>
            </w:r>
          </w:p>
        </w:tc>
        <w:tc>
          <w:tcPr>
            <w:tcW w:w="482" w:type="pct"/>
            <w:noWrap w:val="0"/>
            <w:vAlign w:val="center"/>
          </w:tcPr>
          <w:p>
            <w:pPr>
              <w:spacing w:line="360" w:lineRule="exact"/>
              <w:ind w:firstLine="0" w:firstLineChars="0"/>
              <w:jc w:val="center"/>
              <w:rPr>
                <w:rFonts w:hint="default" w:ascii="Times New Roman" w:hAnsi="Times New Roman" w:eastAsia="宋体" w:cs="Times New Roman"/>
                <w:sz w:val="24"/>
                <w:szCs w:val="24"/>
                <w:highlight w:val="none"/>
              </w:rPr>
              <w:pPrChange w:id="11" w:author="赵国华" w:date="2024-05-15T17:49:40Z">
                <w:pPr>
                  <w:spacing w:line="360" w:lineRule="exact"/>
                  <w:ind w:firstLine="403" w:firstLineChars="168"/>
                  <w:jc w:val="center"/>
                </w:pPr>
              </w:pPrChange>
            </w:pPr>
            <w:r>
              <w:rPr>
                <w:rFonts w:hint="default" w:ascii="Times New Roman" w:hAnsi="Times New Roman" w:eastAsia="宋体" w:cs="Times New Roman"/>
                <w:sz w:val="24"/>
                <w:szCs w:val="24"/>
                <w:highlight w:val="none"/>
              </w:rPr>
              <w:t>5</w:t>
            </w:r>
          </w:p>
        </w:tc>
        <w:tc>
          <w:tcPr>
            <w:tcW w:w="935" w:type="pct"/>
            <w:noWrap w:val="0"/>
            <w:vAlign w:val="center"/>
          </w:tcPr>
          <w:p>
            <w:pPr>
              <w:spacing w:line="360" w:lineRule="exact"/>
              <w:jc w:val="center"/>
              <w:rPr>
                <w:rFonts w:hint="default" w:ascii="Times New Roman" w:hAnsi="Times New Roman" w:eastAsia="宋体" w:cs="Times New Roman"/>
                <w:sz w:val="24"/>
                <w:szCs w:val="24"/>
                <w:highlight w:val="none"/>
              </w:rPr>
              <w:pPrChange w:id="12" w:author="赵国华" w:date="2024-05-15T17:49:40Z">
                <w:pPr>
                  <w:spacing w:line="360" w:lineRule="exact"/>
                  <w:jc w:val="both"/>
                </w:pPr>
              </w:pPrChange>
            </w:pPr>
            <w:r>
              <w:rPr>
                <w:rFonts w:hint="eastAsia" w:ascii="Times New Roman" w:hAnsi="Times New Roman" w:eastAsia="宋体" w:cs="Times New Roman"/>
                <w:sz w:val="24"/>
                <w:szCs w:val="24"/>
                <w:highlight w:val="none"/>
              </w:rPr>
              <w:t>3297635.12</w:t>
            </w:r>
          </w:p>
        </w:tc>
        <w:tc>
          <w:tcPr>
            <w:tcW w:w="1085" w:type="pct"/>
            <w:noWrap w:val="0"/>
            <w:vAlign w:val="center"/>
          </w:tcPr>
          <w:p>
            <w:pPr>
              <w:spacing w:line="360" w:lineRule="exact"/>
              <w:jc w:val="center"/>
              <w:rPr>
                <w:rFonts w:hint="default" w:ascii="Times New Roman" w:hAnsi="Times New Roman" w:eastAsia="宋体" w:cs="Times New Roman"/>
                <w:sz w:val="24"/>
                <w:szCs w:val="24"/>
                <w:highlight w:val="none"/>
              </w:rPr>
              <w:pPrChange w:id="13" w:author="赵国华" w:date="2024-05-15T17:49:40Z">
                <w:pPr>
                  <w:spacing w:line="360" w:lineRule="exact"/>
                  <w:jc w:val="both"/>
                </w:pPr>
              </w:pPrChange>
            </w:pPr>
            <w:r>
              <w:rPr>
                <w:rFonts w:hint="eastAsia" w:ascii="Times New Roman" w:hAnsi="Times New Roman" w:eastAsia="宋体" w:cs="Times New Roman"/>
                <w:sz w:val="24"/>
                <w:szCs w:val="24"/>
                <w:highlight w:val="none"/>
              </w:rPr>
              <w:t>36467422.66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505" w:type="pct"/>
            <w:noWrap w:val="0"/>
            <w:vAlign w:val="center"/>
          </w:tcPr>
          <w:p>
            <w:pPr>
              <w:spacing w:line="360" w:lineRule="exact"/>
              <w:ind w:firstLine="0" w:firstLineChars="0"/>
              <w:jc w:val="center"/>
              <w:rPr>
                <w:rFonts w:hint="default" w:ascii="Times New Roman" w:hAnsi="Times New Roman" w:eastAsia="宋体" w:cs="Times New Roman"/>
                <w:sz w:val="24"/>
                <w:szCs w:val="24"/>
                <w:highlight w:val="none"/>
              </w:rPr>
              <w:pPrChange w:id="14" w:author="赵国华" w:date="2024-05-15T17:49:40Z">
                <w:pPr>
                  <w:spacing w:line="360" w:lineRule="exact"/>
                  <w:ind w:firstLine="403" w:firstLineChars="168"/>
                  <w:jc w:val="center"/>
                </w:pPr>
              </w:pPrChange>
            </w:pPr>
            <w:r>
              <w:rPr>
                <w:rFonts w:hint="default" w:ascii="Times New Roman" w:hAnsi="Times New Roman" w:eastAsia="宋体" w:cs="Times New Roman"/>
                <w:sz w:val="24"/>
                <w:szCs w:val="24"/>
                <w:highlight w:val="none"/>
              </w:rPr>
              <w:t>3</w:t>
            </w:r>
          </w:p>
        </w:tc>
        <w:tc>
          <w:tcPr>
            <w:tcW w:w="1003" w:type="pct"/>
            <w:noWrap w:val="0"/>
            <w:vAlign w:val="center"/>
          </w:tcPr>
          <w:p>
            <w:pPr>
              <w:spacing w:line="360" w:lineRule="exact"/>
              <w:jc w:val="center"/>
              <w:rPr>
                <w:rFonts w:hint="default" w:ascii="Times New Roman" w:hAnsi="Times New Roman" w:eastAsia="宋体" w:cs="Times New Roman"/>
                <w:sz w:val="24"/>
                <w:szCs w:val="24"/>
                <w:highlight w:val="none"/>
              </w:rPr>
              <w:pPrChange w:id="15" w:author="赵国华" w:date="2024-05-15T17:49:40Z">
                <w:pPr>
                  <w:spacing w:line="360" w:lineRule="exact"/>
                  <w:jc w:val="both"/>
                </w:pPr>
              </w:pPrChange>
            </w:pPr>
            <w:r>
              <w:rPr>
                <w:rFonts w:hint="default" w:ascii="Times New Roman" w:hAnsi="Times New Roman" w:eastAsia="宋体" w:cs="Times New Roman"/>
                <w:sz w:val="24"/>
                <w:szCs w:val="24"/>
                <w:highlight w:val="none"/>
              </w:rPr>
              <w:t>3297</w:t>
            </w:r>
            <w:r>
              <w:rPr>
                <w:rFonts w:hint="eastAsia" w:ascii="Times New Roman" w:hAnsi="Times New Roman" w:eastAsia="宋体" w:cs="Times New Roman"/>
                <w:sz w:val="24"/>
                <w:szCs w:val="24"/>
                <w:highlight w:val="none"/>
              </w:rPr>
              <w:t>204.15</w:t>
            </w:r>
          </w:p>
        </w:tc>
        <w:tc>
          <w:tcPr>
            <w:tcW w:w="988" w:type="pct"/>
            <w:noWrap w:val="0"/>
            <w:vAlign w:val="center"/>
          </w:tcPr>
          <w:p>
            <w:pPr>
              <w:spacing w:line="360" w:lineRule="exact"/>
              <w:jc w:val="center"/>
              <w:rPr>
                <w:rFonts w:hint="default" w:ascii="Times New Roman" w:hAnsi="Times New Roman" w:eastAsia="宋体" w:cs="Times New Roman"/>
                <w:sz w:val="24"/>
                <w:szCs w:val="24"/>
                <w:highlight w:val="none"/>
              </w:rPr>
              <w:pPrChange w:id="16" w:author="赵国华" w:date="2024-05-15T17:49:40Z">
                <w:pPr>
                  <w:spacing w:line="360" w:lineRule="exact"/>
                  <w:jc w:val="both"/>
                </w:pPr>
              </w:pPrChange>
            </w:pPr>
            <w:r>
              <w:rPr>
                <w:rFonts w:hint="default" w:ascii="Times New Roman" w:hAnsi="Times New Roman" w:eastAsia="宋体" w:cs="Times New Roman"/>
                <w:sz w:val="24"/>
                <w:szCs w:val="24"/>
                <w:highlight w:val="none"/>
              </w:rPr>
              <w:t>36467</w:t>
            </w:r>
            <w:r>
              <w:rPr>
                <w:rFonts w:hint="eastAsia" w:ascii="Times New Roman" w:hAnsi="Times New Roman" w:eastAsia="宋体" w:cs="Times New Roman"/>
                <w:sz w:val="24"/>
                <w:szCs w:val="24"/>
                <w:highlight w:val="none"/>
              </w:rPr>
              <w:t>914.03</w:t>
            </w:r>
          </w:p>
        </w:tc>
        <w:tc>
          <w:tcPr>
            <w:tcW w:w="482" w:type="pct"/>
            <w:noWrap w:val="0"/>
            <w:vAlign w:val="center"/>
          </w:tcPr>
          <w:p>
            <w:pPr>
              <w:spacing w:line="360" w:lineRule="exact"/>
              <w:ind w:firstLine="0" w:firstLineChars="0"/>
              <w:jc w:val="center"/>
              <w:rPr>
                <w:rFonts w:hint="default" w:ascii="Times New Roman" w:hAnsi="Times New Roman" w:eastAsia="宋体" w:cs="Times New Roman"/>
                <w:sz w:val="24"/>
                <w:szCs w:val="24"/>
                <w:highlight w:val="none"/>
              </w:rPr>
              <w:pPrChange w:id="17" w:author="赵国华" w:date="2024-05-15T17:49:40Z">
                <w:pPr>
                  <w:spacing w:line="360" w:lineRule="exact"/>
                  <w:ind w:firstLine="403" w:firstLineChars="168"/>
                  <w:jc w:val="center"/>
                </w:pPr>
              </w:pPrChange>
            </w:pPr>
            <w:r>
              <w:rPr>
                <w:rFonts w:hint="eastAsia" w:ascii="Times New Roman" w:hAnsi="Times New Roman" w:eastAsia="宋体" w:cs="Times New Roman"/>
                <w:sz w:val="24"/>
                <w:szCs w:val="24"/>
                <w:highlight w:val="none"/>
              </w:rPr>
              <w:t>6</w:t>
            </w:r>
          </w:p>
        </w:tc>
        <w:tc>
          <w:tcPr>
            <w:tcW w:w="935" w:type="pct"/>
            <w:noWrap w:val="0"/>
            <w:vAlign w:val="center"/>
          </w:tcPr>
          <w:p>
            <w:pPr>
              <w:spacing w:line="360" w:lineRule="exact"/>
              <w:jc w:val="center"/>
              <w:rPr>
                <w:rFonts w:hint="default" w:ascii="Times New Roman" w:hAnsi="Times New Roman" w:eastAsia="宋体" w:cs="Times New Roman"/>
                <w:sz w:val="24"/>
                <w:szCs w:val="24"/>
                <w:highlight w:val="none"/>
              </w:rPr>
              <w:pPrChange w:id="18" w:author="赵国华" w:date="2024-05-15T17:49:40Z">
                <w:pPr>
                  <w:spacing w:line="360" w:lineRule="exact"/>
                  <w:jc w:val="both"/>
                </w:pPr>
              </w:pPrChange>
            </w:pPr>
            <w:r>
              <w:rPr>
                <w:rFonts w:hint="eastAsia" w:ascii="Times New Roman" w:hAnsi="Times New Roman" w:eastAsia="宋体" w:cs="Times New Roman"/>
                <w:sz w:val="24"/>
                <w:szCs w:val="24"/>
                <w:highlight w:val="none"/>
              </w:rPr>
              <w:t>3297734.49</w:t>
            </w:r>
          </w:p>
        </w:tc>
        <w:tc>
          <w:tcPr>
            <w:tcW w:w="1085" w:type="pct"/>
            <w:noWrap w:val="0"/>
            <w:vAlign w:val="center"/>
          </w:tcPr>
          <w:p>
            <w:pPr>
              <w:spacing w:line="360" w:lineRule="exact"/>
              <w:jc w:val="center"/>
              <w:rPr>
                <w:rFonts w:hint="default" w:ascii="Times New Roman" w:hAnsi="Times New Roman" w:eastAsia="宋体" w:cs="Times New Roman"/>
                <w:sz w:val="24"/>
                <w:szCs w:val="24"/>
                <w:highlight w:val="none"/>
              </w:rPr>
              <w:pPrChange w:id="19" w:author="赵国华" w:date="2024-05-15T17:49:40Z">
                <w:pPr>
                  <w:spacing w:line="360" w:lineRule="exact"/>
                  <w:jc w:val="both"/>
                </w:pPr>
              </w:pPrChange>
            </w:pPr>
            <w:r>
              <w:rPr>
                <w:rFonts w:hint="eastAsia" w:ascii="Times New Roman" w:hAnsi="Times New Roman" w:eastAsia="宋体" w:cs="Times New Roman"/>
                <w:sz w:val="24"/>
                <w:szCs w:val="24"/>
                <w:highlight w:val="none"/>
              </w:rPr>
              <w:t>36467630.28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5000" w:type="pct"/>
            <w:gridSpan w:val="6"/>
            <w:noWrap w:val="0"/>
            <w:vAlign w:val="center"/>
          </w:tcPr>
          <w:p>
            <w:pPr>
              <w:spacing w:line="360" w:lineRule="exact"/>
              <w:jc w:val="left"/>
              <w:rPr>
                <w:rFonts w:hint="eastAsia"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开采标高：地表+</w:t>
            </w:r>
            <w:r>
              <w:rPr>
                <w:rFonts w:hint="eastAsia" w:ascii="Times New Roman" w:hAnsi="Times New Roman" w:eastAsia="宋体" w:cs="Times New Roman"/>
                <w:sz w:val="24"/>
                <w:szCs w:val="24"/>
                <w:highlight w:val="none"/>
              </w:rPr>
              <w:t>1045m</w:t>
            </w:r>
            <w:r>
              <w:rPr>
                <w:rFonts w:hint="default"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rPr>
              <w:t>950</w:t>
            </w:r>
            <w:r>
              <w:rPr>
                <w:rFonts w:hint="default" w:ascii="Times New Roman" w:hAnsi="Times New Roman" w:eastAsia="宋体" w:cs="Times New Roman"/>
                <w:sz w:val="24"/>
                <w:szCs w:val="24"/>
                <w:highlight w:val="none"/>
              </w:rPr>
              <w:t>m，面积：</w:t>
            </w:r>
            <w:r>
              <w:rPr>
                <w:rFonts w:hint="eastAsia" w:ascii="Times New Roman" w:hAnsi="Times New Roman" w:eastAsia="宋体" w:cs="Times New Roman"/>
                <w:sz w:val="24"/>
                <w:szCs w:val="24"/>
                <w:highlight w:val="none"/>
              </w:rPr>
              <w:t>0.4499</w:t>
            </w:r>
            <w:r>
              <w:rPr>
                <w:rFonts w:hint="default" w:ascii="Times New Roman" w:hAnsi="Times New Roman" w:eastAsia="宋体" w:cs="Times New Roman"/>
                <w:sz w:val="24"/>
                <w:szCs w:val="24"/>
                <w:highlight w:val="none"/>
              </w:rPr>
              <w:t>km2；</w:t>
            </w:r>
          </w:p>
          <w:p>
            <w:pPr>
              <w:spacing w:line="360" w:lineRule="exact"/>
              <w:jc w:val="left"/>
              <w:rPr>
                <w:rFonts w:hint="default"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矿种</w:t>
            </w:r>
            <w:r>
              <w:rPr>
                <w:rFonts w:hint="default" w:ascii="Times New Roman" w:hAnsi="Times New Roman" w:eastAsia="宋体" w:cs="Times New Roman"/>
                <w:sz w:val="24"/>
                <w:szCs w:val="24"/>
                <w:highlight w:val="none"/>
              </w:rPr>
              <w:t>：水泥配料用砂岩矿，生产规模：</w:t>
            </w:r>
            <w:r>
              <w:rPr>
                <w:rFonts w:hint="eastAsia" w:ascii="Times New Roman" w:hAnsi="Times New Roman" w:eastAsia="宋体" w:cs="Times New Roman"/>
                <w:sz w:val="24"/>
                <w:szCs w:val="24"/>
                <w:highlight w:val="none"/>
              </w:rPr>
              <w:t>150万吨/年</w:t>
            </w:r>
          </w:p>
        </w:tc>
      </w:tr>
    </w:tbl>
    <w:p>
      <w:pPr>
        <w:spacing w:line="360" w:lineRule="exact"/>
        <w:ind w:firstLine="482" w:firstLineChars="200"/>
        <w:rPr>
          <w:rFonts w:hint="default" w:ascii="Times New Roman" w:hAnsi="Times New Roman" w:eastAsia="宋体" w:cs="Times New Roman"/>
          <w:b/>
          <w:bCs/>
          <w:sz w:val="24"/>
          <w:szCs w:val="24"/>
        </w:rPr>
      </w:pPr>
      <w:r>
        <w:rPr>
          <w:rFonts w:hint="default" w:ascii="Times New Roman" w:hAnsi="Times New Roman" w:eastAsia="宋体" w:cs="Times New Roman"/>
          <w:b/>
          <w:bCs/>
          <w:kern w:val="0"/>
          <w:sz w:val="24"/>
          <w:szCs w:val="24"/>
        </w:rPr>
        <w:t xml:space="preserve">二、出让人、交易平台联系方式 </w:t>
      </w:r>
    </w:p>
    <w:p>
      <w:pPr>
        <w:spacing w:line="360" w:lineRule="exact"/>
        <w:ind w:firstLine="480" w:firstLineChars="200"/>
        <w:rPr>
          <w:rFonts w:hint="default" w:ascii="Times New Roman" w:hAnsi="Times New Roman" w:eastAsia="宋体" w:cs="Times New Roman"/>
          <w:b/>
          <w:bCs/>
          <w:sz w:val="24"/>
          <w:szCs w:val="24"/>
        </w:rPr>
      </w:pPr>
      <w:r>
        <w:rPr>
          <w:rFonts w:hint="default" w:ascii="Times New Roman" w:hAnsi="Times New Roman" w:eastAsia="宋体" w:cs="Times New Roman"/>
          <w:kern w:val="0"/>
          <w:sz w:val="24"/>
          <w:szCs w:val="24"/>
        </w:rPr>
        <w:t xml:space="preserve">（一）出让人 </w:t>
      </w:r>
    </w:p>
    <w:p>
      <w:pPr>
        <w:spacing w:line="360" w:lineRule="exact"/>
        <w:ind w:firstLine="480" w:firstLineChars="200"/>
        <w:rPr>
          <w:rFonts w:hint="default" w:ascii="Times New Roman" w:hAnsi="Times New Roman" w:eastAsia="宋体" w:cs="Times New Roman"/>
          <w:b/>
          <w:bCs/>
          <w:sz w:val="24"/>
          <w:szCs w:val="24"/>
        </w:rPr>
      </w:pPr>
      <w:r>
        <w:rPr>
          <w:rFonts w:hint="default" w:ascii="Times New Roman" w:hAnsi="Times New Roman" w:eastAsia="宋体" w:cs="Times New Roman"/>
          <w:kern w:val="0"/>
          <w:sz w:val="24"/>
          <w:szCs w:val="24"/>
        </w:rPr>
        <w:t>本宗采矿权出让人为</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sz w:val="24"/>
          <w:szCs w:val="24"/>
          <w:lang w:val="en-US" w:eastAsia="zh-CN"/>
        </w:rPr>
        <w:t>丰都县</w:t>
      </w:r>
      <w:r>
        <w:rPr>
          <w:rFonts w:hint="default" w:ascii="Times New Roman" w:hAnsi="Times New Roman" w:eastAsia="宋体" w:cs="Times New Roman"/>
          <w:sz w:val="24"/>
          <w:szCs w:val="24"/>
        </w:rPr>
        <w:t>规划和自然资源局</w:t>
      </w:r>
      <w:r>
        <w:rPr>
          <w:rFonts w:hint="default" w:ascii="Times New Roman" w:hAnsi="Times New Roman" w:eastAsia="宋体" w:cs="Times New Roman"/>
          <w:kern w:val="0"/>
          <w:sz w:val="24"/>
          <w:szCs w:val="24"/>
        </w:rPr>
        <w:t>，</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rPr>
        <w:t>地址：</w:t>
      </w:r>
      <w:r>
        <w:rPr>
          <w:rFonts w:hint="default" w:ascii="Times New Roman" w:hAnsi="Times New Roman" w:eastAsia="宋体" w:cs="Times New Roman"/>
          <w:sz w:val="24"/>
          <w:szCs w:val="24"/>
        </w:rPr>
        <w:t>丰都县三合街道平都大道西段295号</w:t>
      </w:r>
      <w:r>
        <w:rPr>
          <w:rFonts w:hint="default" w:ascii="Times New Roman" w:hAnsi="Times New Roman" w:eastAsia="宋体" w:cs="Times New Roman"/>
          <w:kern w:val="0"/>
          <w:sz w:val="24"/>
          <w:szCs w:val="24"/>
        </w:rPr>
        <w:t>，</w:t>
      </w:r>
    </w:p>
    <w:p>
      <w:pPr>
        <w:spacing w:line="360" w:lineRule="exact"/>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联系人：</w:t>
      </w:r>
      <w:r>
        <w:rPr>
          <w:rFonts w:hint="default" w:ascii="Times New Roman" w:hAnsi="Times New Roman" w:eastAsia="宋体" w:cs="Times New Roman"/>
          <w:kern w:val="0"/>
          <w:sz w:val="24"/>
          <w:szCs w:val="24"/>
          <w:lang w:val="en-US" w:eastAsia="zh-CN"/>
        </w:rPr>
        <w:t>秦老师</w:t>
      </w:r>
      <w:r>
        <w:rPr>
          <w:rFonts w:hint="default" w:ascii="Times New Roman" w:hAnsi="Times New Roman" w:eastAsia="宋体" w:cs="Times New Roman"/>
          <w:kern w:val="0"/>
          <w:sz w:val="24"/>
          <w:szCs w:val="24"/>
        </w:rPr>
        <w:t>，联系电话</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sz w:val="24"/>
          <w:szCs w:val="24"/>
          <w:lang w:val="en-US" w:eastAsia="zh-CN"/>
        </w:rPr>
        <w:t>023-70702538</w:t>
      </w:r>
      <w:r>
        <w:rPr>
          <w:rFonts w:hint="default" w:ascii="Times New Roman" w:hAnsi="Times New Roman" w:eastAsia="宋体" w:cs="Times New Roman"/>
          <w:kern w:val="0"/>
          <w:sz w:val="24"/>
          <w:szCs w:val="24"/>
        </w:rPr>
        <w:t>。</w:t>
      </w:r>
    </w:p>
    <w:p>
      <w:pPr>
        <w:spacing w:line="360" w:lineRule="exact"/>
        <w:ind w:firstLine="480" w:firstLineChars="200"/>
        <w:rPr>
          <w:rFonts w:hint="default" w:ascii="Times New Roman" w:hAnsi="Times New Roman" w:eastAsia="宋体" w:cs="Times New Roman"/>
          <w:b/>
          <w:bCs/>
          <w:sz w:val="24"/>
          <w:szCs w:val="24"/>
        </w:rPr>
      </w:pPr>
      <w:r>
        <w:rPr>
          <w:rFonts w:hint="default" w:ascii="Times New Roman" w:hAnsi="Times New Roman" w:eastAsia="宋体" w:cs="Times New Roman"/>
          <w:kern w:val="0"/>
          <w:sz w:val="24"/>
          <w:szCs w:val="24"/>
        </w:rPr>
        <w:t xml:space="preserve">（二）交易平台 </w:t>
      </w:r>
    </w:p>
    <w:p>
      <w:pPr>
        <w:spacing w:line="360" w:lineRule="exact"/>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本宗采矿权交易平台为</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sz w:val="24"/>
          <w:szCs w:val="24"/>
        </w:rPr>
        <w:t>丰都县</w:t>
      </w:r>
      <w:r>
        <w:rPr>
          <w:rFonts w:hint="default" w:ascii="Times New Roman" w:hAnsi="Times New Roman" w:eastAsia="宋体" w:cs="Times New Roman"/>
          <w:sz w:val="24"/>
          <w:szCs w:val="24"/>
          <w:lang w:val="en-US" w:eastAsia="zh-CN"/>
        </w:rPr>
        <w:t>公共资源交易平台。</w:t>
      </w:r>
      <w:r>
        <w:rPr>
          <w:rFonts w:hint="default" w:ascii="Times New Roman" w:hAnsi="Times New Roman" w:eastAsia="宋体" w:cs="Times New Roman"/>
          <w:kern w:val="0"/>
          <w:sz w:val="24"/>
          <w:szCs w:val="24"/>
        </w:rPr>
        <w:t>地址：</w:t>
      </w:r>
      <w:r>
        <w:rPr>
          <w:rFonts w:hint="default" w:ascii="Times New Roman" w:hAnsi="Times New Roman" w:eastAsia="宋体" w:cs="Times New Roman"/>
          <w:sz w:val="24"/>
          <w:szCs w:val="24"/>
        </w:rPr>
        <w:t>丰都县三合街道平都大道西段50号二楼</w:t>
      </w:r>
      <w:r>
        <w:rPr>
          <w:rFonts w:hint="default" w:ascii="Times New Roman" w:hAnsi="Times New Roman" w:eastAsia="宋体" w:cs="Times New Roman"/>
          <w:kern w:val="0"/>
          <w:sz w:val="24"/>
          <w:szCs w:val="24"/>
        </w:rPr>
        <w:t>，</w:t>
      </w:r>
    </w:p>
    <w:p>
      <w:pPr>
        <w:spacing w:line="360" w:lineRule="exact"/>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联系人：</w:t>
      </w:r>
      <w:r>
        <w:rPr>
          <w:rFonts w:hint="default" w:ascii="Times New Roman" w:hAnsi="Times New Roman" w:eastAsia="宋体" w:cs="Times New Roman"/>
          <w:kern w:val="0"/>
          <w:sz w:val="24"/>
          <w:szCs w:val="24"/>
          <w:lang w:val="en-US" w:eastAsia="zh-CN"/>
        </w:rPr>
        <w:t>彭老师</w:t>
      </w:r>
      <w:r>
        <w:rPr>
          <w:rFonts w:hint="default" w:ascii="Times New Roman" w:hAnsi="Times New Roman" w:eastAsia="宋体" w:cs="Times New Roman"/>
          <w:kern w:val="0"/>
          <w:sz w:val="24"/>
          <w:szCs w:val="24"/>
        </w:rPr>
        <w:t>，联系电话</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023-707318</w:t>
      </w:r>
      <w:r>
        <w:rPr>
          <w:rFonts w:hint="default" w:ascii="Times New Roman" w:hAnsi="Times New Roman" w:eastAsia="宋体" w:cs="Times New Roman"/>
          <w:sz w:val="24"/>
          <w:szCs w:val="24"/>
          <w:lang w:val="en-US" w:eastAsia="zh-CN"/>
        </w:rPr>
        <w:t>00</w:t>
      </w:r>
      <w:r>
        <w:rPr>
          <w:rFonts w:hint="default" w:ascii="Times New Roman" w:hAnsi="Times New Roman" w:eastAsia="宋体" w:cs="Times New Roman"/>
          <w:kern w:val="0"/>
          <w:sz w:val="24"/>
          <w:szCs w:val="24"/>
        </w:rPr>
        <w:t>。</w:t>
      </w:r>
    </w:p>
    <w:p>
      <w:pPr>
        <w:spacing w:line="360" w:lineRule="exact"/>
        <w:ind w:firstLine="482" w:firstLineChars="200"/>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三、竞买申请人准入条件</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（一）竞买申请人须为营利法人；</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（二）竞买申请人属于以下情形之一的不得参与竞买：</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1.在自然资源部矿业权人勘查开采信息公示系统的“矿业权人异常名录”“矿业权人严重违法名单”内；</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2.通过“信用中国”查询，在自然资源部联合惩戒备忘录或重庆市信用惩戒严重失信主体“黑名单”内限制禁止参与矿业权出让的；</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3.被吊销采矿许可证</w:t>
      </w:r>
      <w:r>
        <w:rPr>
          <w:rFonts w:hint="default" w:ascii="Times New Roman" w:hAnsi="Times New Roman" w:eastAsia="宋体" w:cs="Times New Roman"/>
          <w:sz w:val="24"/>
          <w:szCs w:val="24"/>
          <w:lang w:val="en-US" w:eastAsia="zh-CN"/>
        </w:rPr>
        <w:t>且自吊销之日起未满</w:t>
      </w:r>
      <w:r>
        <w:rPr>
          <w:rFonts w:hint="default" w:ascii="Times New Roman" w:hAnsi="Times New Roman" w:eastAsia="宋体" w:cs="Times New Roman"/>
          <w:sz w:val="24"/>
          <w:szCs w:val="24"/>
        </w:rPr>
        <w:t>2年</w:t>
      </w:r>
      <w:r>
        <w:rPr>
          <w:rFonts w:hint="default" w:ascii="Times New Roman" w:hAnsi="Times New Roman" w:eastAsia="宋体" w:cs="Times New Roman"/>
          <w:sz w:val="24"/>
          <w:szCs w:val="24"/>
          <w:lang w:val="en-US" w:eastAsia="zh-CN"/>
        </w:rPr>
        <w:t>的</w:t>
      </w:r>
      <w:r>
        <w:rPr>
          <w:rFonts w:hint="default" w:ascii="Times New Roman" w:hAnsi="Times New Roman" w:eastAsia="宋体" w:cs="Times New Roman"/>
          <w:sz w:val="24"/>
          <w:szCs w:val="24"/>
        </w:rPr>
        <w:t>。</w:t>
      </w:r>
    </w:p>
    <w:p>
      <w:pPr>
        <w:spacing w:line="360" w:lineRule="exact"/>
        <w:ind w:firstLine="482" w:firstLineChars="200"/>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四、报名申请</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本次公开出让的采矿权采取现场报名方式：</w:t>
      </w:r>
    </w:p>
    <w:p>
      <w:pPr>
        <w:spacing w:line="36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rPr>
        <w:t xml:space="preserve">（一）报名时限：2024年 </w:t>
      </w:r>
      <w:r>
        <w:rPr>
          <w:rFonts w:hint="default"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rPr>
        <w:t>日9：00时－2024年</w:t>
      </w:r>
      <w:r>
        <w:rPr>
          <w:rFonts w:hint="default"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rPr>
        <w:t>日 17:00时</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（二）申请资料</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1.《竞买申请书》（原件1份</w:t>
      </w:r>
      <w:r>
        <w:rPr>
          <w:rFonts w:hint="default" w:ascii="Times New Roman" w:hAnsi="Times New Roman" w:eastAsia="宋体" w:cs="Times New Roman"/>
          <w:sz w:val="24"/>
          <w:szCs w:val="24"/>
          <w:lang w:val="en-US" w:eastAsia="zh-CN"/>
        </w:rPr>
        <w:t>加盖竞买人鲜章</w:t>
      </w:r>
      <w:r>
        <w:rPr>
          <w:rFonts w:hint="default" w:ascii="Times New Roman" w:hAnsi="Times New Roman" w:eastAsia="宋体" w:cs="Times New Roman"/>
          <w:sz w:val="24"/>
          <w:szCs w:val="24"/>
        </w:rPr>
        <w:t>）（附件一）；</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2.工商营业执照副本（复印件1份</w:t>
      </w:r>
      <w:r>
        <w:rPr>
          <w:rFonts w:hint="default" w:ascii="Times New Roman" w:hAnsi="Times New Roman" w:eastAsia="宋体" w:cs="Times New Roman"/>
          <w:sz w:val="24"/>
          <w:szCs w:val="24"/>
          <w:lang w:val="en-US" w:eastAsia="zh-CN"/>
        </w:rPr>
        <w:t>加盖竞买人鲜章</w:t>
      </w:r>
      <w:r>
        <w:rPr>
          <w:rFonts w:hint="default" w:ascii="Times New Roman" w:hAnsi="Times New Roman" w:eastAsia="宋体" w:cs="Times New Roman"/>
          <w:sz w:val="24"/>
          <w:szCs w:val="24"/>
        </w:rPr>
        <w:t>）；</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3.法人身份证明（复印件1份</w:t>
      </w:r>
      <w:r>
        <w:rPr>
          <w:rFonts w:hint="default" w:ascii="Times New Roman" w:hAnsi="Times New Roman" w:eastAsia="宋体" w:cs="Times New Roman"/>
          <w:sz w:val="24"/>
          <w:szCs w:val="24"/>
          <w:lang w:val="en-US" w:eastAsia="zh-CN"/>
        </w:rPr>
        <w:t>加盖竞买人鲜章</w:t>
      </w:r>
      <w:r>
        <w:rPr>
          <w:rFonts w:hint="default" w:ascii="Times New Roman" w:hAnsi="Times New Roman" w:eastAsia="宋体" w:cs="Times New Roman"/>
          <w:sz w:val="24"/>
          <w:szCs w:val="24"/>
        </w:rPr>
        <w:t>）；</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4.法人不能亲自参加的应提供《授权委托书》（原件1份</w:t>
      </w:r>
      <w:r>
        <w:rPr>
          <w:rFonts w:hint="default" w:ascii="Times New Roman" w:hAnsi="Times New Roman" w:eastAsia="宋体" w:cs="Times New Roman"/>
          <w:sz w:val="24"/>
          <w:szCs w:val="24"/>
          <w:lang w:val="en-US" w:eastAsia="zh-CN"/>
        </w:rPr>
        <w:t>加盖竞买人鲜章</w:t>
      </w:r>
      <w:r>
        <w:rPr>
          <w:rFonts w:hint="default" w:ascii="Times New Roman" w:hAnsi="Times New Roman" w:eastAsia="宋体" w:cs="Times New Roman"/>
          <w:sz w:val="24"/>
          <w:szCs w:val="24"/>
        </w:rPr>
        <w:t>）（附件三）；</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5.受托人身份证明（复印件1份</w:t>
      </w:r>
      <w:r>
        <w:rPr>
          <w:rFonts w:hint="default" w:ascii="Times New Roman" w:hAnsi="Times New Roman" w:eastAsia="宋体" w:cs="Times New Roman"/>
          <w:sz w:val="24"/>
          <w:szCs w:val="24"/>
          <w:lang w:val="en-US" w:eastAsia="zh-CN"/>
        </w:rPr>
        <w:t>加盖竞买人鲜章</w:t>
      </w:r>
      <w:r>
        <w:rPr>
          <w:rFonts w:hint="default" w:ascii="Times New Roman" w:hAnsi="Times New Roman" w:eastAsia="宋体" w:cs="Times New Roman"/>
          <w:sz w:val="24"/>
          <w:szCs w:val="24"/>
        </w:rPr>
        <w:t>）；</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6.竞买申请人签署意见的《出让文件》（原件1份</w:t>
      </w:r>
      <w:r>
        <w:rPr>
          <w:rFonts w:hint="default" w:ascii="Times New Roman" w:hAnsi="Times New Roman" w:eastAsia="宋体" w:cs="Times New Roman"/>
          <w:sz w:val="24"/>
          <w:szCs w:val="24"/>
          <w:lang w:val="en-US" w:eastAsia="zh-CN"/>
        </w:rPr>
        <w:t>加盖竞买人鲜章</w:t>
      </w:r>
      <w:r>
        <w:rPr>
          <w:rFonts w:hint="default" w:ascii="Times New Roman" w:hAnsi="Times New Roman" w:eastAsia="宋体" w:cs="Times New Roman"/>
          <w:sz w:val="24"/>
          <w:szCs w:val="24"/>
        </w:rPr>
        <w:t>）。</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（三）现场报名</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申请人可于报名</w:t>
      </w:r>
      <w:r>
        <w:rPr>
          <w:rFonts w:hint="default" w:ascii="Times New Roman" w:hAnsi="Times New Roman" w:eastAsia="宋体" w:cs="Times New Roman"/>
          <w:sz w:val="24"/>
          <w:szCs w:val="24"/>
          <w:lang w:val="en-US" w:eastAsia="zh-CN"/>
        </w:rPr>
        <w:t>时</w:t>
      </w:r>
      <w:r>
        <w:rPr>
          <w:rFonts w:hint="default" w:ascii="Times New Roman" w:hAnsi="Times New Roman" w:eastAsia="宋体" w:cs="Times New Roman"/>
          <w:sz w:val="24"/>
          <w:szCs w:val="24"/>
        </w:rPr>
        <w:t>限内</w:t>
      </w:r>
      <w:r>
        <w:rPr>
          <w:rFonts w:hint="default" w:ascii="Times New Roman" w:hAnsi="Times New Roman" w:eastAsia="宋体" w:cs="Times New Roman"/>
          <w:sz w:val="24"/>
          <w:szCs w:val="24"/>
          <w:lang w:val="en-US" w:eastAsia="zh-CN"/>
        </w:rPr>
        <w:t>分别</w:t>
      </w:r>
      <w:r>
        <w:rPr>
          <w:rFonts w:hint="default" w:ascii="Times New Roman" w:hAnsi="Times New Roman" w:eastAsia="宋体" w:cs="Times New Roman"/>
          <w:sz w:val="24"/>
          <w:szCs w:val="24"/>
        </w:rPr>
        <w:t>足额交纳竞买保证金</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资产转接金</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到指定账户，并持相应报名纸质件资料到丰都县</w:t>
      </w:r>
      <w:r>
        <w:rPr>
          <w:rFonts w:hint="default" w:ascii="Times New Roman" w:hAnsi="Times New Roman" w:eastAsia="宋体" w:cs="Times New Roman"/>
          <w:sz w:val="24"/>
          <w:szCs w:val="24"/>
          <w:lang w:val="en-US" w:eastAsia="zh-CN"/>
        </w:rPr>
        <w:t>公共资源交易平台</w:t>
      </w:r>
      <w:r>
        <w:rPr>
          <w:rFonts w:hint="default" w:ascii="Times New Roman" w:hAnsi="Times New Roman" w:eastAsia="宋体" w:cs="Times New Roman"/>
          <w:sz w:val="24"/>
          <w:szCs w:val="24"/>
        </w:rPr>
        <w:t>提交报名申请。提交复印件的应于报名时提交原件供核对。</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报名地点：丰都县三合街道平都大道西段50号二楼。</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联系人：</w:t>
      </w:r>
      <w:r>
        <w:rPr>
          <w:rFonts w:hint="default" w:ascii="Times New Roman" w:hAnsi="Times New Roman" w:eastAsia="宋体" w:cs="Times New Roman"/>
          <w:kern w:val="0"/>
          <w:sz w:val="24"/>
          <w:szCs w:val="24"/>
          <w:lang w:val="en-US" w:eastAsia="zh-CN"/>
        </w:rPr>
        <w:t>彭老师</w:t>
      </w:r>
      <w:r>
        <w:rPr>
          <w:rFonts w:hint="default" w:ascii="Times New Roman" w:hAnsi="Times New Roman" w:eastAsia="宋体" w:cs="Times New Roman"/>
          <w:kern w:val="0"/>
          <w:sz w:val="24"/>
          <w:szCs w:val="24"/>
        </w:rPr>
        <w:t>，联系电话</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sz w:val="24"/>
          <w:szCs w:val="24"/>
        </w:rPr>
        <w:t>023-707318</w:t>
      </w:r>
      <w:r>
        <w:rPr>
          <w:rFonts w:hint="default" w:ascii="Times New Roman" w:hAnsi="Times New Roman" w:eastAsia="宋体" w:cs="Times New Roman"/>
          <w:sz w:val="24"/>
          <w:szCs w:val="24"/>
          <w:lang w:val="en-US" w:eastAsia="zh-CN"/>
        </w:rPr>
        <w:t>00</w:t>
      </w:r>
    </w:p>
    <w:p>
      <w:pPr>
        <w:numPr>
          <w:ilvl w:val="0"/>
          <w:numId w:val="1"/>
        </w:num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保证金的交纳及相关规定</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保证金户名：丰都县兴丰资产管理有限公司        </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开户行：中国建设银行丰都支行 </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账号：50050129370000000120</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资产转接</w:t>
      </w:r>
      <w:r>
        <w:rPr>
          <w:rFonts w:hint="default" w:ascii="Times New Roman" w:hAnsi="Times New Roman" w:eastAsia="宋体" w:cs="Times New Roman"/>
          <w:sz w:val="24"/>
          <w:szCs w:val="24"/>
        </w:rPr>
        <w:t xml:space="preserve">金户名：丰都县兴丰资产管理有限公司        </w:t>
      </w:r>
    </w:p>
    <w:p>
      <w:pPr>
        <w:spacing w:line="36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开户行：中国建设银行丰都支行 </w:t>
      </w:r>
    </w:p>
    <w:p>
      <w:pPr>
        <w:spacing w:line="36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账号：50050129370000000120</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但不计利息）。</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五、确定竞得人的标准和方法</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（一）</w:t>
      </w:r>
      <w:r>
        <w:rPr>
          <w:rFonts w:hint="default" w:ascii="Times New Roman" w:hAnsi="Times New Roman" w:eastAsia="宋体" w:cs="Times New Roman"/>
          <w:sz w:val="24"/>
          <w:szCs w:val="24"/>
          <w:highlight w:val="none"/>
          <w:lang w:val="en-US" w:eastAsia="zh-CN"/>
        </w:rPr>
        <w:t>拍卖</w:t>
      </w:r>
      <w:r>
        <w:rPr>
          <w:rFonts w:hint="default" w:ascii="Times New Roman" w:hAnsi="Times New Roman" w:eastAsia="宋体" w:cs="Times New Roman"/>
          <w:sz w:val="24"/>
          <w:szCs w:val="24"/>
          <w:highlight w:val="none"/>
        </w:rPr>
        <w:t>时间：2024年</w:t>
      </w:r>
      <w:r>
        <w:rPr>
          <w:rFonts w:hint="default"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rPr>
        <w:t>日10:00-2024年</w:t>
      </w:r>
      <w:r>
        <w:rPr>
          <w:rFonts w:hint="default"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rPr>
        <w:t>日12:00</w:t>
      </w:r>
      <w:r>
        <w:rPr>
          <w:rFonts w:hint="default" w:ascii="Times New Roman" w:hAnsi="Times New Roman" w:eastAsia="宋体" w:cs="Times New Roman"/>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（二）本次拍卖出让为无底价</w:t>
      </w:r>
      <w:r>
        <w:rPr>
          <w:rFonts w:hint="default" w:ascii="Times New Roman" w:hAnsi="Times New Roman" w:eastAsia="宋体" w:cs="Times New Roman"/>
          <w:sz w:val="24"/>
          <w:szCs w:val="24"/>
          <w:highlight w:val="none"/>
        </w:rPr>
        <w:t>，采</w:t>
      </w:r>
      <w:r>
        <w:rPr>
          <w:rFonts w:hint="default" w:ascii="Times New Roman" w:hAnsi="Times New Roman" w:eastAsia="宋体" w:cs="Times New Roman"/>
          <w:sz w:val="24"/>
          <w:szCs w:val="24"/>
        </w:rPr>
        <w:t>用增价报价的方式，按照价高者得原则确定竞得人。拍卖成交后的竞得人按规定即时签订《成交确认书》，成交结果在相关网站公示10个工作日。</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六、风险提示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（二）有关该宗采矿权的用地、用水、用电、公路、环保、基础设施等工作，由竞得人自行负责解决并依法完善相关手续；</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（三）若竞得人竞得该宗采矿权后，在办理采矿登记前进行安全、环境评价等认定为不适宜开采的，该宗采矿权按不成交处理。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七、违约责任、公共资源交易领域失信联合惩戒相关提示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（二）有下列情形之一的，视为竞买人、竞得人违约，竞得结果无效，并将其列入失信联合惩戒名单并承担相当于竞买保证金的违约金，出让方有权不再签订出让合同或解除合同：</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1.竞买人之间串通报价，损害国家利益、社会公共利益或者他人合法权益的；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2.竞买人弄虚作假，骗取交易资格或竞得的；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3.采取行贿或其他不正当手段竞得的；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4.竞得人逾期不签订或者拒绝签订成交确认书的；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5.竞得人逾期不签订或者拒绝签订出让合同的；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i/>
          <w:sz w:val="24"/>
          <w:szCs w:val="24"/>
          <w:u w:val="single"/>
        </w:rPr>
      </w:pPr>
      <w:r>
        <w:rPr>
          <w:rFonts w:hint="default" w:ascii="Times New Roman" w:hAnsi="Times New Roman" w:eastAsia="宋体" w:cs="Times New Roman"/>
          <w:sz w:val="24"/>
          <w:szCs w:val="24"/>
        </w:rPr>
        <w:t>6.其他依法应当认定为违约的情形。</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八、出让合同签订事宜说明</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1.采矿权出让合同签订申请书（原件1份）；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2.采矿权成交确认书（复印件1份）；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3.工商营业执照副本（复印件1份）；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4.法人身份证明（复印件1份）；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5.法人不能亲自办理的应提供《授权委托书》（原件1份）；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6.受托人身份证明（复印件1份）；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7.按照成交结果完善的《重庆市采矿权出让合同》签章件6份（原件）。</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九、对交易矿业权异议的处理方式</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对本次出让的采矿权存有异议的，应在公告期截止前以书面方式向</w:t>
      </w:r>
      <w:r>
        <w:rPr>
          <w:rFonts w:hint="default" w:ascii="Times New Roman" w:hAnsi="Times New Roman" w:eastAsia="宋体" w:cs="Times New Roman"/>
          <w:sz w:val="24"/>
          <w:szCs w:val="24"/>
          <w:lang w:val="en-US" w:eastAsia="zh-CN"/>
        </w:rPr>
        <w:t>丰都县</w:t>
      </w:r>
      <w:r>
        <w:rPr>
          <w:rFonts w:hint="default" w:ascii="Times New Roman" w:hAnsi="Times New Roman" w:eastAsia="宋体" w:cs="Times New Roman"/>
          <w:sz w:val="24"/>
          <w:szCs w:val="24"/>
        </w:rPr>
        <w:t>规划和自然资源局提出；对出让交易程序存有异议的，应在结果公示期截止前以书面方式向丰都县</w:t>
      </w:r>
      <w:r>
        <w:rPr>
          <w:rFonts w:hint="default" w:ascii="Times New Roman" w:hAnsi="Times New Roman" w:eastAsia="宋体" w:cs="Times New Roman"/>
          <w:sz w:val="24"/>
          <w:szCs w:val="24"/>
          <w:lang w:val="en-US" w:eastAsia="zh-CN"/>
        </w:rPr>
        <w:t>兴丰资产管理有限公司</w:t>
      </w:r>
      <w:r>
        <w:rPr>
          <w:rFonts w:hint="default" w:ascii="Times New Roman" w:hAnsi="Times New Roman" w:eastAsia="宋体" w:cs="Times New Roman"/>
          <w:sz w:val="24"/>
          <w:szCs w:val="24"/>
        </w:rPr>
        <w:t>提出。根据所提异议的具体情况，按照《矿业权出让交易规则》（自然资规〔2023〕1号）等相关规定进行妥善处置。</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十、其他重要提示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（一）该采矿权为已建矿山。</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（二）竞得人须自行或委托编制矿山地质环境</w:t>
      </w:r>
      <w:r>
        <w:rPr>
          <w:rFonts w:hint="eastAsia" w:ascii="Times New Roman" w:hAnsi="Times New Roman" w:eastAsia="宋体" w:cs="Times New Roman"/>
          <w:sz w:val="24"/>
          <w:szCs w:val="24"/>
          <w:lang w:val="en-US" w:eastAsia="zh-CN"/>
        </w:rPr>
        <w:t>保护</w:t>
      </w:r>
      <w:r>
        <w:rPr>
          <w:rFonts w:hint="default" w:ascii="Times New Roman" w:hAnsi="Times New Roman" w:eastAsia="宋体" w:cs="Times New Roman"/>
          <w:sz w:val="24"/>
          <w:szCs w:val="24"/>
        </w:rPr>
        <w:t>和土地复垦方案并通过审查，同时按照《矿山地质环境保护规定》等相关规定履行矿山地质环境保护相关义务。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四）截止2023年8月，划定矿区范围内保有水泥配料用砂岩矿资源量1028万吨，划定矿区范围内可利用水泥配料用砂岩矿石资源量871.1万吨；回采率按矿山实际95%计算得可采储量827.5万吨；按生产规模150万吨/年计算，预计矿山服务年限5.5年。</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（五）截止 2023 年8月，划定矿区范围内保有水泥配料用砂岩矿资源量1028.00万吨，在本次划定的矿区范围内涉及到原矿区范围内已出让剩余资源量为17.5万吨，新增资源量1010.50</w:t>
      </w:r>
      <w:r>
        <w:rPr>
          <w:rFonts w:hint="default" w:ascii="Times New Roman" w:hAnsi="Times New Roman" w:eastAsia="宋体" w:cs="Times New Roman"/>
          <w:sz w:val="24"/>
          <w:szCs w:val="24"/>
          <w:lang w:val="zh-CN"/>
        </w:rPr>
        <w:t>万</w:t>
      </w:r>
      <w:r>
        <w:rPr>
          <w:rFonts w:hint="default" w:ascii="Times New Roman" w:hAnsi="Times New Roman" w:eastAsia="宋体" w:cs="Times New Roman"/>
          <w:sz w:val="24"/>
          <w:szCs w:val="24"/>
        </w:rPr>
        <w:t>吨。该宗采矿权范围内涉及到原矿区范围内已出让剩余资源储量以现场实际交接时，双方共同认定的储量或者共同委托第三方机构核定的储量为准，本次划定范围内涉及到原矿区已出让剩余资源的价值按《丰都县包鸾镇亭子垭村老鸦山水泥配料用砂岩矿采矿权评估报告》（川山评报字（2024）F09号）的评估单价2.64元/吨估算剩余储量价值，并由新竞得人在签订《采矿权成交确认书》后 30 个工作日内另行支付给原矿业权人，开采权利归新竞得人所有。未核实以上价值的，视为竞买人对该价值完全认可，并自愿承担所有风险。</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六）拟出让采矿权矿区范围与自然保护地、永久基本农田、生态保护红线等禁止限制性区域不重叠，符合“三区三线”设置要求，符合国土空间规划，无矿业权重叠，不存在采矿权纠纷。规划的工业广场用地已预留工矿用地指标，采矿权人须按照相关规定完善用地手续。该采矿权不涉及原矿业权人固定资产补偿。竞买申请人须认真详读竞买须知，现场踏勘并详细了解出让范围及周边土地、山权、林权、道路、地下管线、水电供给、废渣占地堆放、地表附着物、社群关系等影响资源开采的外部条件以及其他权益补偿情况。提交竞买申请即视为竟买人对采矿权现状和公告要求已完全认可并自愿承担所有风险。</w:t>
      </w:r>
      <w:bookmarkStart w:id="0" w:name="_GoBack"/>
      <w:bookmarkEnd w:id="0"/>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（七）竞得人在签订《成交确认书》之前按重庆市及丰都县相关文件规定的标准全额缴纳交易服务费。</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（八）竞得人逾期未支付相关费用的，视为竞得人自愿放弃该宗采矿权，不退还竞买保证金。 </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附件一：《竞买申请书》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附件二：《授权委托书》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附件三：重庆市采矿权出让合同（模板）</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附件四：《成交确认书》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right"/>
        <w:textAlignment w:val="auto"/>
        <w:rPr>
          <w:rFonts w:hint="default"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right"/>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 xml:space="preserve"> </w:t>
      </w:r>
      <w:r>
        <w:rPr>
          <w:rFonts w:hint="default" w:ascii="Times New Roman" w:hAnsi="Times New Roman" w:eastAsia="宋体" w:cs="Times New Roman"/>
          <w:sz w:val="24"/>
          <w:szCs w:val="24"/>
          <w:highlight w:val="none"/>
          <w:lang w:val="en-US" w:eastAsia="zh-CN"/>
        </w:rPr>
        <w:t>2024</w:t>
      </w:r>
      <w:r>
        <w:rPr>
          <w:rFonts w:hint="default" w:ascii="Times New Roman" w:hAnsi="Times New Roman" w:eastAsia="宋体" w:cs="Times New Roman"/>
          <w:sz w:val="24"/>
          <w:szCs w:val="24"/>
          <w:highlight w:val="none"/>
        </w:rPr>
        <w:t>年</w:t>
      </w:r>
      <w:r>
        <w:rPr>
          <w:rFonts w:hint="default"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rPr>
        <w:t>日</w:t>
      </w:r>
    </w:p>
    <w:p>
      <w:pPr>
        <w:keepNext w:val="0"/>
        <w:keepLines w:val="0"/>
        <w:pageBreakBefore w:val="0"/>
        <w:widowControl w:val="0"/>
        <w:kinsoku/>
        <w:wordWrap/>
        <w:overflowPunct/>
        <w:topLinePunct w:val="0"/>
        <w:autoSpaceDE/>
        <w:autoSpaceDN/>
        <w:bidi w:val="0"/>
        <w:adjustRightInd/>
        <w:snapToGrid/>
        <w:spacing w:line="350" w:lineRule="exact"/>
        <w:ind w:firstLine="480" w:firstLineChars="200"/>
        <w:jc w:val="right"/>
        <w:textAlignment w:val="auto"/>
        <w:rPr>
          <w:rFonts w:hint="default" w:ascii="Times New Roman" w:hAnsi="Times New Roman" w:eastAsia="宋体" w:cs="Times New Roman"/>
          <w:sz w:val="24"/>
          <w:szCs w:val="24"/>
          <w:highlight w:val="none"/>
        </w:rPr>
      </w:pPr>
    </w:p>
    <w:tbl>
      <w:tblPr>
        <w:tblStyle w:val="5"/>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6" w:hRule="exact"/>
        </w:trPr>
        <w:tc>
          <w:tcPr>
            <w:tcW w:w="8359" w:type="dxa"/>
          </w:tcPr>
          <w:p>
            <w:pPr>
              <w:spacing w:line="60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竞买申请人声明：</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i/>
                <w:sz w:val="24"/>
                <w:szCs w:val="24"/>
                <w:u w:val="single"/>
              </w:rPr>
              <w:t xml:space="preserve">（填写已自行踏勘、知晓、自愿等声明）       </w:t>
            </w:r>
            <w:r>
              <w:rPr>
                <w:rFonts w:hint="default" w:ascii="Times New Roman" w:hAnsi="Times New Roman" w:eastAsia="宋体" w:cs="Times New Roman"/>
                <w:sz w:val="24"/>
                <w:szCs w:val="24"/>
                <w:u w:val="single"/>
              </w:rPr>
              <w:t xml:space="preserve">                     </w:t>
            </w:r>
          </w:p>
          <w:p>
            <w:pPr>
              <w:spacing w:line="600" w:lineRule="exact"/>
              <w:rPr>
                <w:rFonts w:hint="default" w:ascii="Times New Roman" w:hAnsi="Times New Roman" w:eastAsia="宋体" w:cs="Times New Roman"/>
                <w:sz w:val="24"/>
                <w:szCs w:val="24"/>
                <w:u w:val="single"/>
              </w:rPr>
            </w:pPr>
            <w:r>
              <w:rPr>
                <w:rFonts w:hint="default" w:ascii="Times New Roman" w:hAnsi="Times New Roman" w:eastAsia="宋体" w:cs="Times New Roman"/>
                <w:sz w:val="24"/>
                <w:szCs w:val="24"/>
                <w:u w:val="single"/>
              </w:rPr>
              <w:t xml:space="preserve">                                                                                 </w:t>
            </w:r>
          </w:p>
          <w:p>
            <w:pPr>
              <w:spacing w:line="600" w:lineRule="exact"/>
              <w:rPr>
                <w:rFonts w:hint="default" w:ascii="Times New Roman" w:hAnsi="Times New Roman" w:eastAsia="宋体" w:cs="Times New Roman"/>
                <w:sz w:val="24"/>
                <w:szCs w:val="24"/>
                <w:u w:val="single"/>
              </w:rPr>
            </w:pPr>
            <w:r>
              <w:rPr>
                <w:rFonts w:hint="default" w:ascii="Times New Roman" w:hAnsi="Times New Roman" w:eastAsia="宋体" w:cs="Times New Roman"/>
                <w:sz w:val="24"/>
                <w:szCs w:val="24"/>
                <w:u w:val="single"/>
              </w:rPr>
              <w:t xml:space="preserve">                                                                                 </w:t>
            </w:r>
          </w:p>
          <w:p>
            <w:pPr>
              <w:spacing w:line="600" w:lineRule="exact"/>
              <w:rPr>
                <w:rFonts w:hint="default" w:ascii="Times New Roman" w:hAnsi="Times New Roman" w:eastAsia="宋体" w:cs="Times New Roman"/>
                <w:sz w:val="24"/>
                <w:szCs w:val="24"/>
                <w:u w:val="single"/>
              </w:rPr>
            </w:pPr>
            <w:r>
              <w:rPr>
                <w:rFonts w:hint="default" w:ascii="Times New Roman" w:hAnsi="Times New Roman" w:eastAsia="宋体" w:cs="Times New Roman"/>
                <w:sz w:val="24"/>
                <w:szCs w:val="24"/>
                <w:u w:val="single"/>
              </w:rPr>
              <w:t xml:space="preserve">                                                                                 </w:t>
            </w:r>
          </w:p>
          <w:p>
            <w:pPr>
              <w:spacing w:line="520" w:lineRule="exact"/>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竞买申请人（盖章）：</w:t>
            </w:r>
          </w:p>
          <w:p>
            <w:pPr>
              <w:spacing w:line="520" w:lineRule="exact"/>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法人代表或授权代理人（签名）：</w:t>
            </w:r>
          </w:p>
          <w:p>
            <w:pPr>
              <w:spacing w:line="240" w:lineRule="atLeast"/>
              <w:jc w:val="center"/>
              <w:rPr>
                <w:rFonts w:hint="default" w:ascii="Times New Roman" w:hAnsi="Times New Roman" w:eastAsia="宋体" w:cs="Times New Roman"/>
                <w:sz w:val="24"/>
                <w:szCs w:val="24"/>
              </w:rPr>
            </w:pPr>
          </w:p>
          <w:p>
            <w:pPr>
              <w:spacing w:line="240" w:lineRule="atLeast"/>
              <w:jc w:val="center"/>
              <w:rPr>
                <w:rFonts w:hint="default" w:ascii="Times New Roman" w:hAnsi="Times New Roman" w:eastAsia="宋体" w:cs="Times New Roman"/>
                <w:sz w:val="24"/>
                <w:szCs w:val="24"/>
              </w:rPr>
            </w:pPr>
          </w:p>
          <w:p>
            <w:pPr>
              <w:wordWrap w:val="0"/>
              <w:spacing w:line="400" w:lineRule="exact"/>
              <w:ind w:right="525" w:rightChars="250"/>
              <w:jc w:val="righ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年   月  日</w:t>
            </w:r>
          </w:p>
        </w:tc>
      </w:tr>
    </w:tbl>
    <w:p>
      <w:pPr>
        <w:spacing w:line="360" w:lineRule="exact"/>
        <w:jc w:val="both"/>
        <w:rPr>
          <w:rFonts w:hint="default" w:ascii="Times New Roman" w:hAnsi="Times New Roman" w:eastAsia="宋体" w:cs="Times New Roman"/>
          <w:sz w:val="24"/>
          <w:szCs w:val="24"/>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- 5 -</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18698"/>
    <w:multiLevelType w:val="singleLevel"/>
    <w:tmpl w:val="31818698"/>
    <w:lvl w:ilvl="0" w:tentative="0">
      <w:start w:val="4"/>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yNWZiYTI1ZTk2ZmRlYjI0ZTg5ODk0ZTU4YTQ4ODAifQ=="/>
  </w:docVars>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F002ED"/>
    <w:rsid w:val="04607DA5"/>
    <w:rsid w:val="04CE5361"/>
    <w:rsid w:val="05242178"/>
    <w:rsid w:val="08D26893"/>
    <w:rsid w:val="09025E61"/>
    <w:rsid w:val="09D749CF"/>
    <w:rsid w:val="0A2A67EC"/>
    <w:rsid w:val="0A381290"/>
    <w:rsid w:val="0BC6059D"/>
    <w:rsid w:val="0D2B1CC1"/>
    <w:rsid w:val="0E615761"/>
    <w:rsid w:val="0F3A6915"/>
    <w:rsid w:val="10131A9A"/>
    <w:rsid w:val="10C13205"/>
    <w:rsid w:val="11DD0B69"/>
    <w:rsid w:val="125B164C"/>
    <w:rsid w:val="13DD0781"/>
    <w:rsid w:val="16633C4F"/>
    <w:rsid w:val="1A3F0F24"/>
    <w:rsid w:val="1BE13EE2"/>
    <w:rsid w:val="1DC74BC9"/>
    <w:rsid w:val="20CE26FE"/>
    <w:rsid w:val="246123DC"/>
    <w:rsid w:val="25EB2AF3"/>
    <w:rsid w:val="25FF1B5F"/>
    <w:rsid w:val="276854B7"/>
    <w:rsid w:val="2A4B6959"/>
    <w:rsid w:val="2D403D06"/>
    <w:rsid w:val="2FC6387E"/>
    <w:rsid w:val="31407687"/>
    <w:rsid w:val="31FA67EA"/>
    <w:rsid w:val="32D7325B"/>
    <w:rsid w:val="33335E3D"/>
    <w:rsid w:val="355440AC"/>
    <w:rsid w:val="36FE5E8B"/>
    <w:rsid w:val="39C40770"/>
    <w:rsid w:val="3B9F796D"/>
    <w:rsid w:val="3E87334A"/>
    <w:rsid w:val="40C82788"/>
    <w:rsid w:val="41275185"/>
    <w:rsid w:val="41A2189A"/>
    <w:rsid w:val="420E5AAC"/>
    <w:rsid w:val="440E4B2D"/>
    <w:rsid w:val="4420577B"/>
    <w:rsid w:val="44981C78"/>
    <w:rsid w:val="449A4B8C"/>
    <w:rsid w:val="45067836"/>
    <w:rsid w:val="47EF7816"/>
    <w:rsid w:val="48401E0D"/>
    <w:rsid w:val="4A370F82"/>
    <w:rsid w:val="4BCB3450"/>
    <w:rsid w:val="4D164EC7"/>
    <w:rsid w:val="4DF050E5"/>
    <w:rsid w:val="4FA154C4"/>
    <w:rsid w:val="50002775"/>
    <w:rsid w:val="503C53AA"/>
    <w:rsid w:val="509C4AAE"/>
    <w:rsid w:val="50C632E0"/>
    <w:rsid w:val="522A4EC0"/>
    <w:rsid w:val="526742FE"/>
    <w:rsid w:val="52A257E7"/>
    <w:rsid w:val="54713FE8"/>
    <w:rsid w:val="56097B4E"/>
    <w:rsid w:val="5A681CF1"/>
    <w:rsid w:val="5C245B66"/>
    <w:rsid w:val="5ED9369F"/>
    <w:rsid w:val="5EF07B33"/>
    <w:rsid w:val="5F3562CC"/>
    <w:rsid w:val="60681AA9"/>
    <w:rsid w:val="61FF025D"/>
    <w:rsid w:val="695A2928"/>
    <w:rsid w:val="6B92434F"/>
    <w:rsid w:val="6C35566A"/>
    <w:rsid w:val="6D3679A7"/>
    <w:rsid w:val="737C2011"/>
    <w:rsid w:val="76674885"/>
    <w:rsid w:val="791E244C"/>
    <w:rsid w:val="7B1457D4"/>
    <w:rsid w:val="7D2B7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Times New Roman" w:cs="Times New Roman"/>
      <w:color w:val="000000"/>
      <w:sz w:val="24"/>
      <w:szCs w:val="22"/>
      <w:lang w:val="en-US" w:eastAsia="zh-CN" w:bidi="ar-SA"/>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脚 字符"/>
    <w:basedOn w:val="6"/>
    <w:link w:val="3"/>
    <w:qFormat/>
    <w:uiPriority w:val="99"/>
    <w:rPr>
      <w:sz w:val="18"/>
      <w:szCs w:val="18"/>
    </w:rPr>
  </w:style>
  <w:style w:type="character" w:customStyle="1" w:styleId="9">
    <w:name w:val="页眉 字符"/>
    <w:basedOn w:val="6"/>
    <w:link w:val="4"/>
    <w:qFormat/>
    <w:uiPriority w:val="99"/>
    <w:rPr>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3182</Words>
  <Characters>3551</Characters>
  <Lines>26</Lines>
  <Paragraphs>7</Paragraphs>
  <TotalTime>2</TotalTime>
  <ScaleCrop>false</ScaleCrop>
  <LinksUpToDate>false</LinksUpToDate>
  <CharactersWithSpaces>3868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cp:lastPrinted>2024-04-07T09:05:00Z</cp:lastPrinted>
  <dcterms:modified xsi:type="dcterms:W3CDTF">2024-05-15T09:50:10Z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8B5FEF34E3984E8296598C1021361E84_13</vt:lpwstr>
  </property>
</Properties>
</file>