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color w:val="252525" w:themeColor="text1" w:themeTint="D9"/>
          <w:sz w:val="40"/>
          <w:szCs w:val="40"/>
        </w:rPr>
      </w:pPr>
      <w:r>
        <w:rPr>
          <w:rFonts w:hint="eastAsia" w:ascii="黑体" w:hAnsi="黑体" w:eastAsia="黑体" w:cs="黑体"/>
          <w:bCs/>
          <w:color w:val="252525" w:themeColor="text1" w:themeTint="D9"/>
          <w:sz w:val="40"/>
          <w:szCs w:val="40"/>
        </w:rPr>
        <w:t>南川区南城街道石林居委三社地热勘查探矿权拍卖出让公告</w:t>
      </w:r>
    </w:p>
    <w:p>
      <w:pPr>
        <w:jc w:val="center"/>
        <w:rPr>
          <w:rFonts w:ascii="黑体" w:hAnsi="黑体" w:eastAsia="黑体" w:cs="黑体"/>
          <w:bCs/>
          <w:color w:val="000000" w:themeColor="text1"/>
          <w:sz w:val="30"/>
          <w:szCs w:val="30"/>
        </w:rPr>
      </w:pPr>
      <w:r>
        <w:rPr>
          <w:rFonts w:hint="eastAsia" w:ascii="黑体" w:hAnsi="黑体" w:eastAsia="黑体" w:cs="黑体"/>
          <w:bCs/>
          <w:color w:val="252525" w:themeColor="text1" w:themeTint="D9"/>
          <w:sz w:val="30"/>
          <w:szCs w:val="30"/>
        </w:rPr>
        <w:t>渝矿探出字〔</w:t>
      </w:r>
      <w:r>
        <w:rPr>
          <w:rFonts w:ascii="黑体" w:hAnsi="黑体" w:eastAsia="黑体" w:cs="黑体"/>
          <w:bCs/>
          <w:color w:val="252525" w:themeColor="text1" w:themeTint="D9"/>
          <w:sz w:val="30"/>
          <w:szCs w:val="30"/>
        </w:rPr>
        <w:t>2025〕（南</w:t>
      </w:r>
      <w:r>
        <w:rPr>
          <w:rFonts w:ascii="黑体" w:hAnsi="黑体" w:eastAsia="黑体" w:cs="黑体"/>
          <w:bCs/>
          <w:color w:val="000000" w:themeColor="text1"/>
          <w:sz w:val="30"/>
          <w:szCs w:val="30"/>
        </w:rPr>
        <w:t>川）</w:t>
      </w:r>
      <w:r>
        <w:rPr>
          <w:rFonts w:hint="eastAsia" w:ascii="黑体" w:hAnsi="黑体" w:eastAsia="黑体" w:cs="黑体"/>
          <w:bCs/>
          <w:color w:val="000000" w:themeColor="text1"/>
          <w:sz w:val="30"/>
          <w:szCs w:val="30"/>
        </w:rPr>
        <w:t>2</w:t>
      </w:r>
      <w:r>
        <w:rPr>
          <w:rFonts w:ascii="黑体" w:hAnsi="黑体" w:eastAsia="黑体" w:cs="黑体"/>
          <w:bCs/>
          <w:color w:val="000000" w:themeColor="text1"/>
          <w:sz w:val="30"/>
          <w:szCs w:val="30"/>
        </w:rPr>
        <w:t>号</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根据国家和重庆市的相关规定，重庆市南川区规划和自然资源局决定公开拍卖出让以下探矿权，并委托重庆市公共资源交易中心负责公开出让交易环节的组织实施。现将有关事项公告如下：</w:t>
      </w:r>
    </w:p>
    <w:p>
      <w:pPr>
        <w:spacing w:line="400" w:lineRule="exact"/>
        <w:ind w:firstLine="440" w:firstLineChars="200"/>
        <w:rPr>
          <w:rFonts w:asciiTheme="minorEastAsia" w:hAnsiTheme="minorEastAsia" w:cstheme="minorEastAsia"/>
          <w:b/>
          <w:color w:val="252525" w:themeColor="text1" w:themeTint="D9"/>
          <w:sz w:val="22"/>
        </w:rPr>
      </w:pPr>
      <w:r>
        <w:rPr>
          <w:rFonts w:hint="eastAsia" w:asciiTheme="minorEastAsia" w:hAnsiTheme="minorEastAsia" w:cstheme="minorEastAsia"/>
          <w:color w:val="252525" w:themeColor="text1" w:themeTint="D9"/>
          <w:sz w:val="22"/>
        </w:rPr>
        <w:t>本次公开出让的探矿权采用网上交易方式。本次公告同步发布的网站：中华人民共和国自然资源部（https://www.mnr.gov.cn/）、重庆市规划和自然资源局网站</w:t>
      </w:r>
      <w:r>
        <w:rPr>
          <w:rFonts w:ascii="Times New Roman" w:hAnsi="Times New Roman" w:cs="Times New Roman"/>
          <w:i/>
          <w:iCs/>
          <w:color w:val="252525" w:themeColor="text1" w:themeTint="D9"/>
          <w:sz w:val="22"/>
        </w:rPr>
        <w:t>（http://ghzrzyj.cq.gov.cn）</w:t>
      </w:r>
      <w:r>
        <w:rPr>
          <w:rFonts w:hint="eastAsia" w:asciiTheme="minorEastAsia" w:hAnsiTheme="minorEastAsia" w:cstheme="minorEastAsia"/>
          <w:color w:val="252525" w:themeColor="text1" w:themeTint="D9"/>
          <w:sz w:val="22"/>
        </w:rPr>
        <w:t>、重庆市公共资源交易中心网站</w:t>
      </w:r>
      <w:r>
        <w:rPr>
          <w:rFonts w:hint="eastAsia" w:ascii="Times New Roman" w:hAnsi="Times New Roman" w:cs="Times New Roman"/>
          <w:i/>
          <w:iCs/>
          <w:color w:val="252525" w:themeColor="text1" w:themeTint="D9"/>
          <w:sz w:val="22"/>
        </w:rPr>
        <w:t>（https://www.cqggzy.com/）</w:t>
      </w:r>
      <w:r>
        <w:rPr>
          <w:rFonts w:hint="eastAsia" w:asciiTheme="minorEastAsia" w:hAnsiTheme="minorEastAsia" w:cstheme="minorEastAsia"/>
          <w:i/>
          <w:color w:val="252525" w:themeColor="text1" w:themeTint="D9"/>
          <w:sz w:val="22"/>
        </w:rPr>
        <w:t>、</w:t>
      </w:r>
      <w:r>
        <w:rPr>
          <w:rFonts w:hint="eastAsia" w:asciiTheme="minorEastAsia" w:hAnsiTheme="minorEastAsia" w:cstheme="minorEastAsia"/>
          <w:iCs/>
          <w:color w:val="252525" w:themeColor="text1" w:themeTint="D9"/>
          <w:sz w:val="22"/>
        </w:rPr>
        <w:t>重庆市南川区人民政府网站</w:t>
      </w:r>
      <w:r>
        <w:rPr>
          <w:rFonts w:hint="eastAsia" w:ascii="Times New Roman" w:hAnsi="Times New Roman" w:cs="Times New Roman"/>
          <w:i/>
          <w:iCs/>
          <w:color w:val="252525" w:themeColor="text1" w:themeTint="D9"/>
          <w:sz w:val="22"/>
        </w:rPr>
        <w:t>（http://www.cqnc.gov.cn/）</w:t>
      </w:r>
      <w:r>
        <w:rPr>
          <w:rFonts w:hint="eastAsia" w:asciiTheme="minorEastAsia" w:hAnsiTheme="minorEastAsia" w:cstheme="minorEastAsia"/>
          <w:color w:val="252525" w:themeColor="text1" w:themeTint="D9"/>
          <w:sz w:val="22"/>
        </w:rPr>
        <w:t>。</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一、基本情况</w:t>
      </w:r>
    </w:p>
    <w:tbl>
      <w:tblPr>
        <w:tblStyle w:val="7"/>
        <w:tblpPr w:leftFromText="180" w:rightFromText="180" w:vertAnchor="text" w:horzAnchor="margin" w:tblpXSpec="center" w:tblpY="41"/>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2052"/>
        <w:gridCol w:w="993"/>
        <w:gridCol w:w="850"/>
        <w:gridCol w:w="2126"/>
        <w:gridCol w:w="1501"/>
        <w:gridCol w:w="1022"/>
        <w:gridCol w:w="1149"/>
        <w:gridCol w:w="1229"/>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345"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公告序号</w:t>
            </w:r>
          </w:p>
        </w:tc>
        <w:tc>
          <w:tcPr>
            <w:tcW w:w="205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探矿权名称</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（暂定名）</w:t>
            </w:r>
          </w:p>
        </w:tc>
        <w:tc>
          <w:tcPr>
            <w:tcW w:w="99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地理</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位置</w:t>
            </w:r>
          </w:p>
        </w:tc>
        <w:tc>
          <w:tcPr>
            <w:tcW w:w="85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勘查</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矿种</w:t>
            </w:r>
          </w:p>
        </w:tc>
        <w:tc>
          <w:tcPr>
            <w:tcW w:w="212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勘查范围拐点坐标（2000坐标系）</w:t>
            </w:r>
          </w:p>
        </w:tc>
        <w:tc>
          <w:tcPr>
            <w:tcW w:w="150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勘查面积</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（平方公里）</w:t>
            </w:r>
          </w:p>
        </w:tc>
        <w:tc>
          <w:tcPr>
            <w:tcW w:w="102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地质工作程度</w:t>
            </w:r>
          </w:p>
        </w:tc>
        <w:tc>
          <w:tcPr>
            <w:tcW w:w="114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年限（年）</w:t>
            </w:r>
          </w:p>
        </w:tc>
        <w:tc>
          <w:tcPr>
            <w:tcW w:w="122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出让收益起始价</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（万元）</w:t>
            </w:r>
          </w:p>
        </w:tc>
        <w:tc>
          <w:tcPr>
            <w:tcW w:w="133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保证金</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金额</w:t>
            </w:r>
          </w:p>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45" w:type="dxa"/>
            <w:vAlign w:val="center"/>
          </w:tcPr>
          <w:p>
            <w:pPr>
              <w:jc w:val="center"/>
              <w:rPr>
                <w:rFonts w:asciiTheme="minorEastAsia" w:hAnsiTheme="minorEastAsia" w:cstheme="minorEastAsia"/>
                <w:color w:val="252525" w:themeColor="text1" w:themeTint="D9"/>
                <w:sz w:val="22"/>
              </w:rPr>
            </w:pPr>
            <w:r>
              <w:rPr>
                <w:rFonts w:asciiTheme="minorEastAsia" w:hAnsiTheme="minorEastAsia" w:cstheme="minorEastAsia"/>
                <w:sz w:val="22"/>
              </w:rPr>
              <w:t>NCGT20250</w:t>
            </w:r>
            <w:r>
              <w:rPr>
                <w:rFonts w:hint="eastAsia" w:asciiTheme="minorEastAsia" w:hAnsiTheme="minorEastAsia" w:cstheme="minorEastAsia"/>
                <w:sz w:val="22"/>
              </w:rPr>
              <w:t>2</w:t>
            </w:r>
          </w:p>
        </w:tc>
        <w:tc>
          <w:tcPr>
            <w:tcW w:w="205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南川区南城街道石林居委三社地热勘查</w:t>
            </w:r>
          </w:p>
        </w:tc>
        <w:tc>
          <w:tcPr>
            <w:tcW w:w="993"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南川区南城街道石林居委三社</w:t>
            </w:r>
          </w:p>
        </w:tc>
        <w:tc>
          <w:tcPr>
            <w:tcW w:w="850"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地热</w:t>
            </w:r>
          </w:p>
        </w:tc>
        <w:tc>
          <w:tcPr>
            <w:tcW w:w="212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详见《出让文件》</w:t>
            </w:r>
          </w:p>
        </w:tc>
        <w:tc>
          <w:tcPr>
            <w:tcW w:w="1501"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1.08</w:t>
            </w:r>
          </w:p>
        </w:tc>
        <w:tc>
          <w:tcPr>
            <w:tcW w:w="1022"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详查阶段</w:t>
            </w:r>
          </w:p>
        </w:tc>
        <w:tc>
          <w:tcPr>
            <w:tcW w:w="114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5</w:t>
            </w:r>
          </w:p>
        </w:tc>
        <w:tc>
          <w:tcPr>
            <w:tcW w:w="1229"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21.6</w:t>
            </w:r>
          </w:p>
        </w:tc>
        <w:tc>
          <w:tcPr>
            <w:tcW w:w="1336" w:type="dxa"/>
            <w:vAlign w:val="center"/>
          </w:tcPr>
          <w:p>
            <w:pPr>
              <w:jc w:val="center"/>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3603" w:type="dxa"/>
            <w:gridSpan w:val="10"/>
            <w:vAlign w:val="center"/>
          </w:tcPr>
          <w:p>
            <w:pPr>
              <w:jc w:val="left"/>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备注：</w:t>
            </w:r>
            <w:r>
              <w:rPr>
                <w:rFonts w:hint="eastAsia" w:asciiTheme="minorEastAsia" w:hAnsiTheme="minorEastAsia" w:cstheme="minorEastAsia"/>
                <w:sz w:val="22"/>
              </w:rPr>
              <w:t>矿业权出让收益率：T﹤60℃=3.6%，60℃≦T﹤90℃=4.2%，T≧90℃=4.7%。</w:t>
            </w:r>
          </w:p>
        </w:tc>
      </w:tr>
    </w:tbl>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二、出让人：</w:t>
      </w:r>
      <w:r>
        <w:rPr>
          <w:rFonts w:hint="eastAsia" w:asciiTheme="minorEastAsia" w:hAnsiTheme="minorEastAsia" w:cstheme="minorEastAsia"/>
          <w:color w:val="252525" w:themeColor="text1" w:themeTint="D9"/>
          <w:sz w:val="22"/>
        </w:rPr>
        <w:t>重庆市南川区规划和自然资源局，地址：重庆市南川区南大街89号，联系人：王老师，联系电话：023-71420530 。</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三、交易平台</w:t>
      </w:r>
      <w:r>
        <w:rPr>
          <w:rFonts w:hint="eastAsia" w:asciiTheme="minorEastAsia" w:hAnsiTheme="minorEastAsia" w:cstheme="minorEastAsia"/>
          <w:color w:val="252525" w:themeColor="text1" w:themeTint="D9"/>
          <w:sz w:val="22"/>
        </w:rPr>
        <w:t>：重庆市公共资源交易中心</w:t>
      </w:r>
      <w:r>
        <w:rPr>
          <w:rFonts w:hint="eastAsia" w:asciiTheme="minorEastAsia" w:hAnsiTheme="minorEastAsia" w:cstheme="minorEastAsia"/>
          <w:bCs/>
          <w:color w:val="252525" w:themeColor="text1" w:themeTint="D9"/>
          <w:sz w:val="22"/>
        </w:rPr>
        <w:t>，</w:t>
      </w:r>
      <w:r>
        <w:rPr>
          <w:rFonts w:hint="eastAsia" w:asciiTheme="minorEastAsia" w:hAnsiTheme="minorEastAsia" w:cstheme="minorEastAsia"/>
          <w:color w:val="252525" w:themeColor="text1" w:themeTint="D9"/>
          <w:sz w:val="22"/>
        </w:rPr>
        <w:t>地址：重庆市渝北区青枫北路6号渝兴广场B9、B10栋，联系人：王老师，联系电话：023-63628117。</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四、竞买人的资质条件：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（一）竞买申请人须为依法登记的营利法人或者非营利法人中的事业单位法人；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（二）竞买申请人属于以下情形之一的不得参与竞买：</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1.在全国矿业权人勘查开采信息管理系统的“矿业权人异常名录”、“矿业权严重失信主体”内的；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2.通过“信用中国”查询，在自然资源部联合惩戒备忘录或重庆市信用惩戒严重失信主体“黑名单”内限制禁止参与矿业权出让的；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 被吊销勘查许可证且自吊销之日起未满6个月的。</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五、出让方式及交易的时间、地点</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出让方式：拍卖出让</w:t>
      </w:r>
    </w:p>
    <w:p>
      <w:pPr>
        <w:spacing w:line="400" w:lineRule="exact"/>
        <w:ind w:firstLine="440" w:firstLineChars="200"/>
        <w:rPr>
          <w:rFonts w:hint="eastAsia"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公告时间：2025年4月25日-2025年5月26日</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网上拍卖时间：2025年5月27日10:00时</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地点：重庆市公共资源交易中心（网址：https://td.cqggzy.com/）。</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六、获取竞买文件的途径和申请报名的起止时间及方式</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（一）竞买文件获取：</w:t>
      </w:r>
      <w:r>
        <w:rPr>
          <w:rFonts w:hint="eastAsia" w:asciiTheme="minorEastAsia" w:hAnsiTheme="minorEastAsia" w:cstheme="minorEastAsia"/>
          <w:color w:val="252525" w:themeColor="text1" w:themeTint="D9"/>
          <w:sz w:val="22"/>
        </w:rPr>
        <w:t>申请人在报名期限内登录重庆市公共资源交易中心网站（https://www.cqggzy.com/），进入重庆市国有建设用地使用权和矿业权网上交易系统（网址：https://td.cqggzy.com/），查阅、下载出让资料。</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（二）网上报名时限：</w:t>
      </w:r>
      <w:r>
        <w:rPr>
          <w:rFonts w:hint="eastAsia" w:asciiTheme="minorEastAsia" w:hAnsiTheme="minorEastAsia" w:cstheme="minorEastAsia"/>
          <w:color w:val="252525" w:themeColor="text1" w:themeTint="D9"/>
          <w:sz w:val="22"/>
        </w:rPr>
        <w:t>2025年4月25日09:00时-2025年5月26日17:00时</w:t>
      </w:r>
    </w:p>
    <w:p>
      <w:pPr>
        <w:spacing w:line="400" w:lineRule="exact"/>
        <w:ind w:firstLine="442" w:firstLineChars="200"/>
        <w:rPr>
          <w:rFonts w:asciiTheme="minorEastAsia" w:hAnsiTheme="minorEastAsia" w:cstheme="minorEastAsia"/>
          <w:color w:val="252525" w:themeColor="text1" w:themeTint="D9"/>
          <w:sz w:val="22"/>
        </w:rPr>
      </w:pPr>
      <w:r>
        <w:rPr>
          <w:rFonts w:hint="eastAsia" w:asciiTheme="minorEastAsia" w:hAnsiTheme="minorEastAsia" w:cstheme="minorEastAsia"/>
          <w:b/>
          <w:bCs/>
          <w:color w:val="252525" w:themeColor="text1" w:themeTint="D9"/>
          <w:sz w:val="22"/>
        </w:rPr>
        <w:t>（三）网上报名方式和程序：</w:t>
      </w:r>
      <w:r>
        <w:rPr>
          <w:rFonts w:hint="eastAsia" w:asciiTheme="minorEastAsia" w:hAnsiTheme="minorEastAsia" w:cstheme="minorEastAsia"/>
          <w:color w:val="252525" w:themeColor="text1" w:themeTint="D9"/>
          <w:sz w:val="22"/>
        </w:rPr>
        <w:t>本次公开出让的探矿权采取网上报名方式：申请人应于报名期限内登录重庆市国有建设用地使用权和矿业权网上交易系统，按规定提交竞买申请，在报名期限内足额交纳竞买保证金，提交报名资料电子档。</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（四）保证金的交纳详见《出让文件》。</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七、确定竞得人的标准和方法</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本次拍卖出让设置有底价，采用网上增价报价的方式，按照不低于底价的最高价者得原则确定竞得人。拍卖成交后的竞得人按规定即时签订《成交确认书》，成交结果在相关网站公示10个工作日。</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八、风险提示</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（一）因地质勘查工作实际需要，有关该宗探矿权的用地、用水、用电、公路、环保、基础设施等工作，由竞得人自行负责解决并依法完善相关手续。</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（三）非因出让人过失造成的探矿权损减（包含但不限于勘查区块面积缩减、勘查许可证废止、勘查许可证被吊销、出让合同终止等），出让人已经收取的探矿权出让收益等费用一律不予退还。</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（四）矿产资源勘查有着不可预见的风险，竞买申请人须慎重并自行承担风险。出现包含但不限于下列的情形，出让人不退还已收取的探矿权出让收益等相关费用。</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1.在勘查许可证载明的区块范围和有效期限内,不能找到可供开采的矿产资源；</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2.法律法规修改或国家政策变化、矿产资源规划调整，包括但不限于安全、环境保护、产业政策等要求,对特定探矿手段、选矿方法的限制对探矿权造成不利影响或不能转为采矿权的；</w:t>
      </w:r>
    </w:p>
    <w:p>
      <w:pPr>
        <w:spacing w:line="400" w:lineRule="exact"/>
        <w:ind w:firstLine="440" w:firstLineChars="200"/>
        <w:rPr>
          <w:rFonts w:asciiTheme="minorEastAsia" w:hAnsiTheme="minorEastAsia" w:cstheme="minorEastAsia"/>
          <w:color w:val="252525" w:themeColor="text1" w:themeTint="D9"/>
          <w:kern w:val="0"/>
          <w:sz w:val="22"/>
        </w:rPr>
      </w:pPr>
      <w:r>
        <w:rPr>
          <w:rFonts w:hint="eastAsia" w:asciiTheme="minorEastAsia" w:hAnsiTheme="minorEastAsia" w:cstheme="minorEastAsia"/>
          <w:color w:val="252525" w:themeColor="text1" w:themeTint="D9"/>
          <w:kern w:val="0"/>
          <w:sz w:val="22"/>
        </w:rPr>
        <w:t>3.以往开展的地质工作、形成的地质勘查资料存在瑕疵。</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九、对交易矿业权异议的处理方式</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对本次出让的探矿权存有异议的，应在探矿权出让公告期截止前以书面方式向重庆市南川区规划和自然资源局提出</w:t>
      </w:r>
      <w:r>
        <w:rPr>
          <w:rFonts w:hint="eastAsia" w:asciiTheme="minorEastAsia" w:hAnsiTheme="minorEastAsia" w:cstheme="minorEastAsia"/>
          <w:color w:val="252525" w:themeColor="text1" w:themeTint="D9"/>
          <w:kern w:val="0"/>
          <w:sz w:val="22"/>
        </w:rPr>
        <w:t>（</w:t>
      </w:r>
      <w:r>
        <w:rPr>
          <w:rFonts w:hint="eastAsia" w:asciiTheme="minorEastAsia" w:hAnsiTheme="minorEastAsia" w:cstheme="minorEastAsia"/>
          <w:color w:val="252525" w:themeColor="text1" w:themeTint="D9"/>
          <w:sz w:val="22"/>
        </w:rPr>
        <w:t>联系人：王老师</w:t>
      </w:r>
      <w:bookmarkStart w:id="0" w:name="_GoBack"/>
      <w:bookmarkEnd w:id="0"/>
      <w:r>
        <w:rPr>
          <w:rFonts w:hint="eastAsia" w:asciiTheme="minorEastAsia" w:hAnsiTheme="minorEastAsia" w:cstheme="minorEastAsia"/>
          <w:color w:val="252525" w:themeColor="text1" w:themeTint="D9"/>
          <w:sz w:val="22"/>
        </w:rPr>
        <w:t>，联系电话：023-71420530</w:t>
      </w:r>
      <w:r>
        <w:rPr>
          <w:rFonts w:hint="eastAsia" w:asciiTheme="minorEastAsia" w:hAnsiTheme="minorEastAsia" w:cstheme="minorEastAsia"/>
          <w:color w:val="252525" w:themeColor="text1" w:themeTint="D9"/>
          <w:kern w:val="0"/>
          <w:sz w:val="22"/>
        </w:rPr>
        <w:t>）</w:t>
      </w:r>
      <w:r>
        <w:rPr>
          <w:rFonts w:hint="eastAsia" w:asciiTheme="minorEastAsia" w:hAnsiTheme="minorEastAsia" w:cstheme="minorEastAsia"/>
          <w:color w:val="252525" w:themeColor="text1" w:themeTint="D9"/>
          <w:sz w:val="22"/>
        </w:rPr>
        <w:t>。根据所提异议的具体情况，按照《矿业权出让交易规则》（自然资规〔2023〕1号）等相关规定进行妥善处置。</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十、违约责任、公共资源交易领域失信联合惩戒相关提示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（二）有下列情形之一的，视为竞买人、竞得人违约，竞得结果无效，并将其列入失信联合惩戒名单、竞买保证金不予退还，出让方有权不再签订出让合同或解除合同：</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1.竞买人之间串通报价，损害国家利益、社会公共利益或者他人合法权益的；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2.竞买人弄虚作假，骗取交易资格或竞得的；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3.采取行贿或其他不正当手段竞得的；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4.竞得人逾期不签订或者拒绝签订成交确认书的；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5.竞得人逾期不签订或者拒绝签订出让合同的；</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6.其他依法应当认定为违约的情形。</w:t>
      </w:r>
    </w:p>
    <w:p>
      <w:pPr>
        <w:spacing w:line="400" w:lineRule="exact"/>
        <w:ind w:firstLine="442" w:firstLineChars="200"/>
        <w:rPr>
          <w:rFonts w:asciiTheme="minorEastAsia" w:hAnsiTheme="minorEastAsia" w:cstheme="minorEastAsia"/>
          <w:b/>
          <w:bCs/>
          <w:color w:val="252525" w:themeColor="text1" w:themeTint="D9"/>
          <w:sz w:val="22"/>
        </w:rPr>
      </w:pPr>
      <w:r>
        <w:rPr>
          <w:rFonts w:hint="eastAsia" w:asciiTheme="minorEastAsia" w:hAnsiTheme="minorEastAsia" w:cstheme="minorEastAsia"/>
          <w:b/>
          <w:bCs/>
          <w:color w:val="252525" w:themeColor="text1" w:themeTint="D9"/>
          <w:sz w:val="22"/>
        </w:rPr>
        <w:t>十一、其他重要提示</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（一）竞得人在探矿权区块范围内开展勘查工作应按照《矿山地质环境保护规定》履行矿山地质环境保护相关义务。</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（二）按照国家和重庆市有关规定，本次出让的探矿权在转采矿权后需缴纳采矿权出让收益的应按规定缴纳。</w:t>
      </w:r>
    </w:p>
    <w:p>
      <w:pPr>
        <w:spacing w:line="400" w:lineRule="exact"/>
        <w:ind w:firstLine="440" w:firstLineChars="200"/>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（三）矿产资源勘查有着不可预见的风险，本宗探矿权出让前期技术报告编制工作使用的技术依据中部分为类比参考，存在一定的不确定和不完整性因素，竞买申请人须自行承担风险。</w:t>
      </w:r>
    </w:p>
    <w:p>
      <w:pPr>
        <w:snapToGrid w:val="0"/>
        <w:spacing w:line="400" w:lineRule="exact"/>
        <w:jc w:val="right"/>
        <w:rPr>
          <w:rFonts w:asciiTheme="minorEastAsia" w:hAnsiTheme="minorEastAsia" w:cstheme="minorEastAsia"/>
          <w:color w:val="252525" w:themeColor="text1" w:themeTint="D9"/>
          <w:sz w:val="22"/>
        </w:rPr>
      </w:pPr>
    </w:p>
    <w:p>
      <w:pPr>
        <w:pStyle w:val="2"/>
        <w:snapToGrid w:val="0"/>
        <w:spacing w:line="400" w:lineRule="exact"/>
        <w:jc w:val="right"/>
        <w:rPr>
          <w:rFonts w:asciiTheme="minorEastAsia" w:hAnsiTheme="minorEastAsia" w:cstheme="minorEastAsia"/>
          <w:color w:val="252525" w:themeColor="text1" w:themeTint="D9"/>
          <w:sz w:val="22"/>
        </w:rPr>
      </w:pPr>
    </w:p>
    <w:p>
      <w:pPr>
        <w:snapToGrid/>
        <w:spacing w:line="400" w:lineRule="exact"/>
        <w:ind w:right="220" w:firstLine="440" w:firstLineChars="200"/>
        <w:jc w:val="right"/>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u w:val="none"/>
        </w:rPr>
        <w:t>重庆市南川区</w:t>
      </w:r>
      <w:r>
        <w:rPr>
          <w:rFonts w:hint="eastAsia" w:asciiTheme="minorEastAsia" w:hAnsiTheme="minorEastAsia" w:cstheme="minorEastAsia"/>
          <w:color w:val="252525" w:themeColor="text1" w:themeTint="D9"/>
          <w:sz w:val="22"/>
        </w:rPr>
        <w:t>规划和自然资源局</w:t>
      </w:r>
    </w:p>
    <w:p>
      <w:pPr>
        <w:snapToGrid/>
        <w:spacing w:line="400" w:lineRule="exact"/>
        <w:ind w:right="440" w:firstLine="10890" w:firstLineChars="4950"/>
        <w:jc w:val="both"/>
        <w:rPr>
          <w:rFonts w:asciiTheme="minorEastAsia" w:hAnsiTheme="minorEastAsia" w:cstheme="minorEastAsia"/>
          <w:color w:val="252525" w:themeColor="text1" w:themeTint="D9"/>
          <w:sz w:val="22"/>
        </w:rPr>
      </w:pPr>
      <w:r>
        <w:rPr>
          <w:rFonts w:hint="eastAsia" w:asciiTheme="minorEastAsia" w:hAnsiTheme="minorEastAsia" w:cstheme="minorEastAsia"/>
          <w:color w:val="252525" w:themeColor="text1" w:themeTint="D9"/>
          <w:sz w:val="22"/>
        </w:rPr>
        <w:t xml:space="preserve"> 2025年4月25日</w:t>
      </w:r>
    </w:p>
    <w:p>
      <w:pPr>
        <w:spacing w:line="560" w:lineRule="exact"/>
        <w:rPr>
          <w:rFonts w:asciiTheme="minorEastAsia" w:hAnsiTheme="minorEastAsia" w:cstheme="minorEastAsia"/>
          <w:color w:val="252525" w:themeColor="text1" w:themeTint="D9"/>
          <w:sz w:val="22"/>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1</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C050DE"/>
    <w:rsid w:val="000342B0"/>
    <w:rsid w:val="00053D91"/>
    <w:rsid w:val="00093F78"/>
    <w:rsid w:val="001569D8"/>
    <w:rsid w:val="001640F5"/>
    <w:rsid w:val="00180CAB"/>
    <w:rsid w:val="00185D7F"/>
    <w:rsid w:val="001A27CE"/>
    <w:rsid w:val="00202319"/>
    <w:rsid w:val="002C7FC4"/>
    <w:rsid w:val="002E1CDD"/>
    <w:rsid w:val="003305BB"/>
    <w:rsid w:val="00333C80"/>
    <w:rsid w:val="00396DF3"/>
    <w:rsid w:val="003E08A7"/>
    <w:rsid w:val="00475582"/>
    <w:rsid w:val="00506E78"/>
    <w:rsid w:val="00553EFE"/>
    <w:rsid w:val="005A1358"/>
    <w:rsid w:val="005B6948"/>
    <w:rsid w:val="005B7EE5"/>
    <w:rsid w:val="00606C17"/>
    <w:rsid w:val="006F2390"/>
    <w:rsid w:val="00701F27"/>
    <w:rsid w:val="007D32DA"/>
    <w:rsid w:val="007E5156"/>
    <w:rsid w:val="00813E94"/>
    <w:rsid w:val="00832DD5"/>
    <w:rsid w:val="00920E82"/>
    <w:rsid w:val="009B30F7"/>
    <w:rsid w:val="009B77CC"/>
    <w:rsid w:val="009D58CD"/>
    <w:rsid w:val="009E483F"/>
    <w:rsid w:val="009F1770"/>
    <w:rsid w:val="00A11315"/>
    <w:rsid w:val="00A136A1"/>
    <w:rsid w:val="00A168F6"/>
    <w:rsid w:val="00A262A9"/>
    <w:rsid w:val="00A3616D"/>
    <w:rsid w:val="00A500AC"/>
    <w:rsid w:val="00A95A59"/>
    <w:rsid w:val="00AA14E4"/>
    <w:rsid w:val="00AB0991"/>
    <w:rsid w:val="00AC3A4C"/>
    <w:rsid w:val="00AF04AB"/>
    <w:rsid w:val="00AF2E82"/>
    <w:rsid w:val="00B2037D"/>
    <w:rsid w:val="00BC21D6"/>
    <w:rsid w:val="00C050DE"/>
    <w:rsid w:val="00CD30C0"/>
    <w:rsid w:val="00D339D2"/>
    <w:rsid w:val="00DB0B69"/>
    <w:rsid w:val="00DC78A5"/>
    <w:rsid w:val="00E237B6"/>
    <w:rsid w:val="00E326F7"/>
    <w:rsid w:val="00E60A2D"/>
    <w:rsid w:val="00E67689"/>
    <w:rsid w:val="00E827C6"/>
    <w:rsid w:val="00EB1464"/>
    <w:rsid w:val="00F13745"/>
    <w:rsid w:val="00F55647"/>
    <w:rsid w:val="00F614DF"/>
    <w:rsid w:val="00F633AC"/>
    <w:rsid w:val="00FF4BF7"/>
    <w:rsid w:val="00FF5D06"/>
    <w:rsid w:val="015A5410"/>
    <w:rsid w:val="0410153A"/>
    <w:rsid w:val="0E8A0F68"/>
    <w:rsid w:val="178F18B2"/>
    <w:rsid w:val="196D078A"/>
    <w:rsid w:val="1C361910"/>
    <w:rsid w:val="1EA72953"/>
    <w:rsid w:val="1F8A4959"/>
    <w:rsid w:val="22325614"/>
    <w:rsid w:val="25D74E70"/>
    <w:rsid w:val="25EC6365"/>
    <w:rsid w:val="280A0AF0"/>
    <w:rsid w:val="2D012029"/>
    <w:rsid w:val="2FE14568"/>
    <w:rsid w:val="310703D7"/>
    <w:rsid w:val="35426BC8"/>
    <w:rsid w:val="35A340AA"/>
    <w:rsid w:val="3AC86D22"/>
    <w:rsid w:val="3B0D6B34"/>
    <w:rsid w:val="3F4B4533"/>
    <w:rsid w:val="40864460"/>
    <w:rsid w:val="461A062E"/>
    <w:rsid w:val="4DC5074E"/>
    <w:rsid w:val="4F477454"/>
    <w:rsid w:val="511F7071"/>
    <w:rsid w:val="51400C00"/>
    <w:rsid w:val="55AF01D2"/>
    <w:rsid w:val="5609242B"/>
    <w:rsid w:val="58FC03C6"/>
    <w:rsid w:val="595B667F"/>
    <w:rsid w:val="60760DE1"/>
    <w:rsid w:val="6282181C"/>
    <w:rsid w:val="65090F9F"/>
    <w:rsid w:val="65CD2742"/>
    <w:rsid w:val="67055432"/>
    <w:rsid w:val="691F2DB9"/>
    <w:rsid w:val="6AD169F2"/>
    <w:rsid w:val="6F847E55"/>
    <w:rsid w:val="738F4DCE"/>
    <w:rsid w:val="74107662"/>
    <w:rsid w:val="74540AB2"/>
    <w:rsid w:val="772E5405"/>
    <w:rsid w:val="7EBB4EF4"/>
    <w:rsid w:val="7F5F46B9"/>
    <w:rsid w:val="7FFF3C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uppressAutoHyphens/>
      <w:spacing w:before="100" w:beforeAutospacing="1" w:after="100" w:afterAutospacing="1"/>
      <w:jc w:val="left"/>
    </w:pPr>
    <w:rPr>
      <w:rFonts w:ascii="Calibri" w:hAnsi="Calibri" w:eastAsia="宋体" w:cs="Times New Roman"/>
      <w:kern w:val="0"/>
      <w:sz w:val="24"/>
      <w:szCs w:val="24"/>
    </w:rPr>
  </w:style>
  <w:style w:type="character" w:styleId="9">
    <w:name w:val="page number"/>
    <w:basedOn w:val="8"/>
    <w:qFormat/>
    <w:uiPriority w:val="0"/>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414</Words>
  <Characters>2363</Characters>
  <Lines>19</Lines>
  <Paragraphs>5</Paragraphs>
  <TotalTime>1028</TotalTime>
  <ScaleCrop>false</ScaleCrop>
  <LinksUpToDate>false</LinksUpToDate>
  <CharactersWithSpaces>2772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2025-04-24T09:15:32Z</cp:lastPrinted>
  <dcterms:modified xsi:type="dcterms:W3CDTF">2025-04-24T09:15:37Z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D2D2E47C00774D7DBE8A1E082B0B2FFE_13</vt:lpwstr>
  </property>
</Properties>
</file>