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snapToGrid w:val="0"/>
        <w:spacing w:after="0"/>
        <w:jc w:val="center"/>
        <w:textAlignment w:val="auto"/>
        <w:rPr>
          <w:rFonts w:hint="default" w:ascii="Times New Roman" w:hAnsi="Times New Roman" w:eastAsia="黑体" w:cs="Times New Roman"/>
          <w:bCs/>
          <w:color w:val="auto"/>
          <w:sz w:val="40"/>
          <w:szCs w:val="40"/>
        </w:rPr>
      </w:pPr>
      <w:r>
        <w:rPr>
          <w:rFonts w:hint="default" w:ascii="Times New Roman" w:hAnsi="Times New Roman" w:eastAsia="黑体" w:cs="Times New Roman"/>
          <w:i w:val="0"/>
          <w:iCs w:val="0"/>
          <w:color w:val="auto"/>
          <w:sz w:val="40"/>
          <w:szCs w:val="40"/>
          <w:lang w:val="en-US" w:eastAsia="zh-CN"/>
        </w:rPr>
        <w:t>重庆市巴南区东温泉镇佛灵街3号地热</w:t>
      </w:r>
      <w:r>
        <w:rPr>
          <w:rFonts w:hint="default" w:ascii="Times New Roman" w:hAnsi="Times New Roman" w:eastAsia="黑体" w:cs="Times New Roman"/>
          <w:i w:val="0"/>
          <w:iCs w:val="0"/>
          <w:color w:val="auto"/>
          <w:sz w:val="40"/>
          <w:szCs w:val="40"/>
        </w:rPr>
        <w:t>采矿权</w:t>
      </w:r>
      <w:r>
        <w:rPr>
          <w:rFonts w:hint="default" w:ascii="Times New Roman" w:hAnsi="Times New Roman" w:eastAsia="黑体" w:cs="Times New Roman"/>
          <w:bCs/>
          <w:color w:val="auto"/>
          <w:sz w:val="40"/>
          <w:szCs w:val="40"/>
        </w:rPr>
        <w:t>拍卖出让公告</w:t>
      </w:r>
    </w:p>
    <w:p>
      <w:pPr>
        <w:keepNext w:val="0"/>
        <w:keepLines w:val="0"/>
        <w:pageBreakBefore w:val="0"/>
        <w:kinsoku/>
        <w:overflowPunct/>
        <w:topLinePunct w:val="0"/>
        <w:autoSpaceDE/>
        <w:autoSpaceDN/>
        <w:bidi w:val="0"/>
        <w:snapToGrid w:val="0"/>
        <w:spacing w:after="0"/>
        <w:jc w:val="center"/>
        <w:textAlignment w:val="auto"/>
        <w:rPr>
          <w:rFonts w:hint="default" w:ascii="Times New Roman" w:hAnsi="Times New Roman" w:eastAsia="黑体" w:cs="Times New Roman"/>
          <w:bCs/>
          <w:color w:val="auto"/>
          <w:sz w:val="30"/>
          <w:szCs w:val="30"/>
        </w:rPr>
      </w:pPr>
      <w:r>
        <w:rPr>
          <w:rFonts w:hint="default" w:ascii="Times New Roman" w:hAnsi="Times New Roman" w:eastAsia="黑体" w:cs="Times New Roman"/>
          <w:bCs/>
          <w:color w:val="auto"/>
          <w:sz w:val="30"/>
          <w:szCs w:val="30"/>
        </w:rPr>
        <w:t>渝矿采出字〔202</w:t>
      </w:r>
      <w:r>
        <w:rPr>
          <w:rFonts w:hint="eastAsia" w:ascii="Times New Roman" w:hAnsi="Times New Roman" w:eastAsia="黑体" w:cs="Times New Roman"/>
          <w:bCs/>
          <w:color w:val="auto"/>
          <w:sz w:val="30"/>
          <w:szCs w:val="30"/>
          <w:lang w:val="en-US" w:eastAsia="zh-CN"/>
        </w:rPr>
        <w:t>5</w:t>
      </w:r>
      <w:r>
        <w:rPr>
          <w:rFonts w:hint="default" w:ascii="Times New Roman" w:hAnsi="Times New Roman" w:eastAsia="黑体" w:cs="Times New Roman"/>
          <w:bCs/>
          <w:color w:val="auto"/>
          <w:sz w:val="30"/>
          <w:szCs w:val="30"/>
        </w:rPr>
        <w:t>〕（</w:t>
      </w:r>
      <w:r>
        <w:rPr>
          <w:rFonts w:hint="default" w:ascii="Times New Roman" w:hAnsi="Times New Roman" w:eastAsia="黑体" w:cs="Times New Roman"/>
          <w:bCs/>
          <w:color w:val="auto"/>
          <w:sz w:val="30"/>
          <w:szCs w:val="30"/>
          <w:lang w:val="en-US" w:eastAsia="zh-CN"/>
        </w:rPr>
        <w:t>巴南</w:t>
      </w:r>
      <w:r>
        <w:rPr>
          <w:rFonts w:hint="default" w:ascii="Times New Roman" w:hAnsi="Times New Roman" w:eastAsia="黑体" w:cs="Times New Roman"/>
          <w:bCs/>
          <w:color w:val="auto"/>
          <w:sz w:val="30"/>
          <w:szCs w:val="30"/>
        </w:rPr>
        <w:t>）</w:t>
      </w:r>
      <w:r>
        <w:rPr>
          <w:rFonts w:hint="eastAsia" w:eastAsia="黑体" w:cs="Times New Roman"/>
          <w:bCs/>
          <w:color w:val="auto"/>
          <w:sz w:val="30"/>
          <w:szCs w:val="30"/>
          <w:lang w:val="en-US" w:eastAsia="zh-CN"/>
        </w:rPr>
        <w:t>1</w:t>
      </w:r>
      <w:r>
        <w:rPr>
          <w:rFonts w:hint="default" w:ascii="Times New Roman" w:hAnsi="Times New Roman" w:eastAsia="黑体" w:cs="Times New Roman"/>
          <w:bCs/>
          <w:color w:val="auto"/>
          <w:sz w:val="30"/>
          <w:szCs w:val="30"/>
        </w:rPr>
        <w:t>号</w:t>
      </w:r>
    </w:p>
    <w:p>
      <w:pPr>
        <w:keepNext w:val="0"/>
        <w:keepLines w:val="0"/>
        <w:pageBreakBefore w:val="0"/>
        <w:kinsoku/>
        <w:overflowPunct/>
        <w:topLinePunct w:val="0"/>
        <w:autoSpaceDE/>
        <w:autoSpaceDN/>
        <w:bidi w:val="0"/>
        <w:snapToGrid w:val="0"/>
        <w:spacing w:after="0" w:line="400" w:lineRule="exact"/>
        <w:ind w:firstLine="440" w:firstLineChars="200"/>
        <w:textAlignment w:val="auto"/>
        <w:rPr>
          <w:rFonts w:hint="default" w:ascii="Times New Roman" w:hAnsi="Times New Roman" w:cs="Times New Roman" w:eastAsiaTheme="minorEastAsia"/>
          <w:color w:val="auto"/>
          <w:sz w:val="22"/>
        </w:rPr>
      </w:pPr>
      <w:r>
        <w:rPr>
          <w:rFonts w:hint="default" w:ascii="Times New Roman" w:hAnsi="Times New Roman" w:cs="Times New Roman" w:eastAsiaTheme="minorEastAsia"/>
          <w:color w:val="auto"/>
          <w:sz w:val="22"/>
        </w:rPr>
        <w:t>根据国家和重庆市的相关规定，重庆市</w:t>
      </w:r>
      <w:r>
        <w:rPr>
          <w:rFonts w:hint="eastAsia" w:cs="Times New Roman" w:eastAsiaTheme="minorEastAsia"/>
          <w:color w:val="auto"/>
          <w:sz w:val="22"/>
          <w:lang w:val="en-US" w:eastAsia="zh-CN"/>
        </w:rPr>
        <w:t>巴南区</w:t>
      </w:r>
      <w:r>
        <w:rPr>
          <w:rFonts w:hint="default" w:ascii="Times New Roman" w:hAnsi="Times New Roman" w:cs="Times New Roman" w:eastAsiaTheme="minorEastAsia"/>
          <w:color w:val="auto"/>
          <w:sz w:val="22"/>
        </w:rPr>
        <w:t>规划和自然资源局决定公开拍卖出让以下采矿权，并委托重庆市公共资源交易中心负责公开出让交易环节的组织实施。现将有关事项公告如下：</w:t>
      </w:r>
    </w:p>
    <w:p>
      <w:pPr>
        <w:keepNext w:val="0"/>
        <w:keepLines w:val="0"/>
        <w:pageBreakBefore w:val="0"/>
        <w:kinsoku/>
        <w:overflowPunct/>
        <w:topLinePunct w:val="0"/>
        <w:autoSpaceDE/>
        <w:autoSpaceDN/>
        <w:bidi w:val="0"/>
        <w:snapToGrid w:val="0"/>
        <w:spacing w:after="0" w:line="400" w:lineRule="exact"/>
        <w:ind w:firstLine="440" w:firstLineChars="200"/>
        <w:textAlignment w:val="auto"/>
        <w:rPr>
          <w:rFonts w:hint="default" w:ascii="Times New Roman" w:hAnsi="Times New Roman" w:cs="Times New Roman" w:eastAsiaTheme="minorEastAsia"/>
          <w:b/>
          <w:i w:val="0"/>
          <w:iCs w:val="0"/>
          <w:color w:val="auto"/>
          <w:sz w:val="22"/>
        </w:rPr>
      </w:pPr>
      <w:r>
        <w:rPr>
          <w:rFonts w:hint="default" w:ascii="Times New Roman" w:hAnsi="Times New Roman" w:cs="Times New Roman" w:eastAsiaTheme="minorEastAsia"/>
          <w:color w:val="auto"/>
          <w:sz w:val="22"/>
        </w:rPr>
        <w:t>本次公开出让的采矿权采用网上交易方式。本次公告同步发布的网站：中华人民共和</w:t>
      </w:r>
      <w:r>
        <w:rPr>
          <w:rFonts w:hint="default" w:ascii="Times New Roman" w:hAnsi="Times New Roman" w:cs="Times New Roman" w:eastAsiaTheme="minorEastAsia"/>
          <w:i w:val="0"/>
          <w:iCs w:val="0"/>
          <w:color w:val="auto"/>
          <w:sz w:val="22"/>
        </w:rPr>
        <w:t>国自然资源部</w:t>
      </w:r>
      <w:r>
        <w:rPr>
          <w:rFonts w:hint="default" w:ascii="Times New Roman" w:hAnsi="Times New Roman" w:cs="Times New Roman" w:eastAsiaTheme="minorEastAsia"/>
          <w:i w:val="0"/>
          <w:iCs w:val="0"/>
          <w:color w:val="auto"/>
          <w:sz w:val="22"/>
          <w:u w:val="single"/>
        </w:rPr>
        <w:t>（https://www.mnr.gov.cn/）</w:t>
      </w:r>
      <w:r>
        <w:rPr>
          <w:rFonts w:hint="default" w:ascii="Times New Roman" w:hAnsi="Times New Roman" w:cs="Times New Roman" w:eastAsiaTheme="minorEastAsia"/>
          <w:i w:val="0"/>
          <w:iCs w:val="0"/>
          <w:color w:val="auto"/>
          <w:sz w:val="22"/>
        </w:rPr>
        <w:t>、重庆市规划和自然资源局网站</w:t>
      </w:r>
      <w:r>
        <w:rPr>
          <w:rFonts w:hint="default" w:ascii="Times New Roman" w:hAnsi="Times New Roman" w:cs="Times New Roman" w:eastAsiaTheme="minorEastAsia"/>
          <w:i w:val="0"/>
          <w:iCs w:val="0"/>
          <w:color w:val="auto"/>
          <w:sz w:val="22"/>
          <w:u w:val="single"/>
        </w:rPr>
        <w:t>（http://ghzrzyj.cq.gov.cn）</w:t>
      </w:r>
      <w:r>
        <w:rPr>
          <w:rFonts w:hint="default" w:ascii="Times New Roman" w:hAnsi="Times New Roman" w:cs="Times New Roman" w:eastAsiaTheme="minorEastAsia"/>
          <w:i w:val="0"/>
          <w:iCs w:val="0"/>
          <w:color w:val="auto"/>
          <w:sz w:val="22"/>
        </w:rPr>
        <w:t>、重庆市公共资源交易中心网站</w:t>
      </w:r>
      <w:r>
        <w:rPr>
          <w:rFonts w:hint="default" w:ascii="Times New Roman" w:hAnsi="Times New Roman" w:cs="Times New Roman" w:eastAsiaTheme="minorEastAsia"/>
          <w:i w:val="0"/>
          <w:iCs w:val="0"/>
          <w:color w:val="auto"/>
          <w:sz w:val="22"/>
          <w:u w:val="single"/>
        </w:rPr>
        <w:t>（https://www.cqggzy.com/）、</w:t>
      </w:r>
      <w:r>
        <w:rPr>
          <w:rFonts w:hint="default" w:ascii="Times New Roman" w:hAnsi="Times New Roman" w:cs="Times New Roman" w:eastAsiaTheme="minorEastAsia"/>
          <w:i w:val="0"/>
          <w:iCs w:val="0"/>
          <w:color w:val="auto"/>
          <w:sz w:val="22"/>
          <w:u w:val="none"/>
        </w:rPr>
        <w:t>重庆市</w:t>
      </w:r>
      <w:r>
        <w:rPr>
          <w:rFonts w:hint="default" w:ascii="Times New Roman" w:hAnsi="Times New Roman" w:cs="Times New Roman" w:eastAsiaTheme="minorEastAsia"/>
          <w:i w:val="0"/>
          <w:iCs w:val="0"/>
          <w:color w:val="auto"/>
          <w:sz w:val="22"/>
          <w:u w:val="none"/>
          <w:lang w:val="en-US" w:eastAsia="zh-CN"/>
        </w:rPr>
        <w:t>巴南区</w:t>
      </w:r>
      <w:r>
        <w:rPr>
          <w:rFonts w:hint="default" w:ascii="Times New Roman" w:hAnsi="Times New Roman" w:cs="Times New Roman" w:eastAsiaTheme="minorEastAsia"/>
          <w:i w:val="0"/>
          <w:iCs w:val="0"/>
          <w:color w:val="auto"/>
          <w:sz w:val="22"/>
          <w:u w:val="none"/>
        </w:rPr>
        <w:t>人民政府网站</w:t>
      </w:r>
      <w:r>
        <w:rPr>
          <w:rFonts w:hint="default" w:ascii="Times New Roman" w:hAnsi="Times New Roman" w:cs="Times New Roman" w:eastAsiaTheme="minorEastAsia"/>
          <w:i w:val="0"/>
          <w:iCs w:val="0"/>
          <w:color w:val="auto"/>
          <w:sz w:val="22"/>
          <w:u w:val="single"/>
        </w:rPr>
        <w:t>（https://www.</w:t>
      </w:r>
      <w:r>
        <w:rPr>
          <w:rFonts w:hint="default" w:ascii="Times New Roman" w:hAnsi="Times New Roman" w:cs="Times New Roman" w:eastAsiaTheme="minorEastAsia"/>
          <w:i w:val="0"/>
          <w:iCs w:val="0"/>
          <w:color w:val="auto"/>
          <w:sz w:val="22"/>
          <w:u w:val="single"/>
          <w:lang w:val="en-US" w:eastAsia="zh-CN"/>
        </w:rPr>
        <w:t>cqbn</w:t>
      </w:r>
      <w:r>
        <w:rPr>
          <w:rFonts w:hint="default" w:ascii="Times New Roman" w:hAnsi="Times New Roman" w:cs="Times New Roman" w:eastAsiaTheme="minorEastAsia"/>
          <w:i w:val="0"/>
          <w:iCs w:val="0"/>
          <w:color w:val="auto"/>
          <w:sz w:val="22"/>
          <w:u w:val="single"/>
        </w:rPr>
        <w:t>.gov.cn）</w:t>
      </w:r>
      <w:r>
        <w:rPr>
          <w:rFonts w:hint="default" w:ascii="Times New Roman" w:hAnsi="Times New Roman" w:cs="Times New Roman" w:eastAsiaTheme="minorEastAsia"/>
          <w:i w:val="0"/>
          <w:iCs w:val="0"/>
          <w:color w:val="auto"/>
          <w:sz w:val="22"/>
        </w:rPr>
        <w:t>。</w:t>
      </w:r>
    </w:p>
    <w:p>
      <w:pPr>
        <w:keepNext w:val="0"/>
        <w:keepLines w:val="0"/>
        <w:pageBreakBefore w:val="0"/>
        <w:kinsoku/>
        <w:overflowPunct/>
        <w:topLinePunct w:val="0"/>
        <w:autoSpaceDE/>
        <w:autoSpaceDN/>
        <w:bidi w:val="0"/>
        <w:snapToGrid w:val="0"/>
        <w:spacing w:after="0" w:line="400" w:lineRule="exact"/>
        <w:ind w:firstLine="442" w:firstLineChars="200"/>
        <w:textAlignment w:val="auto"/>
        <w:rPr>
          <w:rFonts w:hint="default" w:ascii="Times New Roman" w:hAnsi="Times New Roman" w:cs="Times New Roman" w:eastAsiaTheme="minorEastAsia"/>
          <w:b/>
          <w:color w:val="auto"/>
          <w:sz w:val="22"/>
        </w:rPr>
      </w:pPr>
      <w:r>
        <w:rPr>
          <w:rFonts w:hint="default" w:ascii="Times New Roman" w:hAnsi="Times New Roman" w:cs="Times New Roman" w:eastAsiaTheme="minorEastAsia"/>
          <w:b/>
          <w:color w:val="auto"/>
          <w:sz w:val="22"/>
        </w:rPr>
        <w:t>一、基本情况</w:t>
      </w:r>
    </w:p>
    <w:tbl>
      <w:tblPr>
        <w:tblStyle w:val="9"/>
        <w:tblW w:w="506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72"/>
        <w:gridCol w:w="1362"/>
        <w:gridCol w:w="1188"/>
        <w:gridCol w:w="704"/>
        <w:gridCol w:w="1343"/>
        <w:gridCol w:w="1003"/>
        <w:gridCol w:w="1253"/>
        <w:gridCol w:w="900"/>
        <w:gridCol w:w="938"/>
        <w:gridCol w:w="940"/>
        <w:gridCol w:w="1095"/>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trPr>
        <w:tc>
          <w:tcPr>
            <w:tcW w:w="689" w:type="pct"/>
            <w:noWrap w:val="0"/>
            <w:vAlign w:val="center"/>
          </w:tcPr>
          <w:p>
            <w:pPr>
              <w:keepNext w:val="0"/>
              <w:keepLines w:val="0"/>
              <w:pageBreakBefore w:val="0"/>
              <w:kinsoku/>
              <w:overflowPunct/>
              <w:topLinePunct w:val="0"/>
              <w:autoSpaceDE/>
              <w:autoSpaceDN/>
              <w:bidi w:val="0"/>
              <w:snapToGrid w:val="0"/>
              <w:spacing w:after="0"/>
              <w:jc w:val="center"/>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序号</w:t>
            </w:r>
          </w:p>
        </w:tc>
        <w:tc>
          <w:tcPr>
            <w:tcW w:w="501" w:type="pct"/>
            <w:noWrap w:val="0"/>
            <w:vAlign w:val="center"/>
          </w:tcPr>
          <w:p>
            <w:pPr>
              <w:keepNext w:val="0"/>
              <w:keepLines w:val="0"/>
              <w:pageBreakBefore w:val="0"/>
              <w:kinsoku/>
              <w:overflowPunct/>
              <w:topLinePunct w:val="0"/>
              <w:autoSpaceDE/>
              <w:autoSpaceDN/>
              <w:bidi w:val="0"/>
              <w:snapToGrid w:val="0"/>
              <w:spacing w:after="0"/>
              <w:jc w:val="center"/>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采矿权名称（暂定名）</w:t>
            </w:r>
          </w:p>
        </w:tc>
        <w:tc>
          <w:tcPr>
            <w:tcW w:w="437" w:type="pct"/>
            <w:noWrap w:val="0"/>
            <w:vAlign w:val="center"/>
          </w:tcPr>
          <w:p>
            <w:pPr>
              <w:keepNext w:val="0"/>
              <w:keepLines w:val="0"/>
              <w:pageBreakBefore w:val="0"/>
              <w:kinsoku/>
              <w:overflowPunct/>
              <w:topLinePunct w:val="0"/>
              <w:autoSpaceDE/>
              <w:autoSpaceDN/>
              <w:bidi w:val="0"/>
              <w:snapToGrid w:val="0"/>
              <w:spacing w:after="0"/>
              <w:jc w:val="center"/>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地理位置</w:t>
            </w:r>
          </w:p>
        </w:tc>
        <w:tc>
          <w:tcPr>
            <w:tcW w:w="259" w:type="pct"/>
            <w:noWrap w:val="0"/>
            <w:vAlign w:val="center"/>
          </w:tcPr>
          <w:p>
            <w:pPr>
              <w:keepNext w:val="0"/>
              <w:keepLines w:val="0"/>
              <w:pageBreakBefore w:val="0"/>
              <w:kinsoku/>
              <w:overflowPunct/>
              <w:topLinePunct w:val="0"/>
              <w:autoSpaceDE/>
              <w:autoSpaceDN/>
              <w:bidi w:val="0"/>
              <w:snapToGrid w:val="0"/>
              <w:spacing w:after="0"/>
              <w:jc w:val="center"/>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矿种</w:t>
            </w:r>
          </w:p>
        </w:tc>
        <w:tc>
          <w:tcPr>
            <w:tcW w:w="494" w:type="pct"/>
            <w:noWrap w:val="0"/>
            <w:vAlign w:val="center"/>
          </w:tcPr>
          <w:p>
            <w:pPr>
              <w:keepNext w:val="0"/>
              <w:keepLines w:val="0"/>
              <w:pageBreakBefore w:val="0"/>
              <w:kinsoku/>
              <w:overflowPunct/>
              <w:topLinePunct w:val="0"/>
              <w:autoSpaceDE/>
              <w:autoSpaceDN/>
              <w:bidi w:val="0"/>
              <w:snapToGrid w:val="0"/>
              <w:spacing w:after="0"/>
              <w:jc w:val="center"/>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矿区范围拐点坐标</w:t>
            </w:r>
          </w:p>
        </w:tc>
        <w:tc>
          <w:tcPr>
            <w:tcW w:w="369" w:type="pct"/>
            <w:noWrap w:val="0"/>
            <w:vAlign w:val="center"/>
          </w:tcPr>
          <w:p>
            <w:pPr>
              <w:keepNext w:val="0"/>
              <w:keepLines w:val="0"/>
              <w:pageBreakBefore w:val="0"/>
              <w:kinsoku/>
              <w:overflowPunct/>
              <w:topLinePunct w:val="0"/>
              <w:autoSpaceDE/>
              <w:autoSpaceDN/>
              <w:bidi w:val="0"/>
              <w:snapToGrid w:val="0"/>
              <w:spacing w:after="0"/>
              <w:jc w:val="center"/>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资源储量</w:t>
            </w:r>
          </w:p>
        </w:tc>
        <w:tc>
          <w:tcPr>
            <w:tcW w:w="461" w:type="pct"/>
            <w:noWrap w:val="0"/>
            <w:vAlign w:val="center"/>
          </w:tcPr>
          <w:p>
            <w:pPr>
              <w:keepNext w:val="0"/>
              <w:keepLines w:val="0"/>
              <w:pageBreakBefore w:val="0"/>
              <w:kinsoku/>
              <w:overflowPunct/>
              <w:topLinePunct w:val="0"/>
              <w:autoSpaceDE/>
              <w:autoSpaceDN/>
              <w:bidi w:val="0"/>
              <w:snapToGrid w:val="0"/>
              <w:spacing w:after="0"/>
              <w:jc w:val="center"/>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矿区面积(平方公里)</w:t>
            </w:r>
          </w:p>
        </w:tc>
        <w:tc>
          <w:tcPr>
            <w:tcW w:w="331" w:type="pct"/>
            <w:noWrap w:val="0"/>
            <w:vAlign w:val="center"/>
          </w:tcPr>
          <w:p>
            <w:pPr>
              <w:keepNext w:val="0"/>
              <w:keepLines w:val="0"/>
              <w:pageBreakBefore w:val="0"/>
              <w:kinsoku/>
              <w:overflowPunct/>
              <w:topLinePunct w:val="0"/>
              <w:autoSpaceDE/>
              <w:autoSpaceDN/>
              <w:bidi w:val="0"/>
              <w:snapToGrid w:val="0"/>
              <w:spacing w:after="0"/>
              <w:jc w:val="center"/>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开采</w:t>
            </w:r>
          </w:p>
          <w:p>
            <w:pPr>
              <w:keepNext w:val="0"/>
              <w:keepLines w:val="0"/>
              <w:pageBreakBefore w:val="0"/>
              <w:kinsoku/>
              <w:overflowPunct/>
              <w:topLinePunct w:val="0"/>
              <w:autoSpaceDE/>
              <w:autoSpaceDN/>
              <w:bidi w:val="0"/>
              <w:snapToGrid w:val="0"/>
              <w:spacing w:after="0"/>
              <w:jc w:val="center"/>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标高</w:t>
            </w:r>
          </w:p>
        </w:tc>
        <w:tc>
          <w:tcPr>
            <w:tcW w:w="345" w:type="pct"/>
            <w:noWrap w:val="0"/>
            <w:vAlign w:val="center"/>
          </w:tcPr>
          <w:p>
            <w:pPr>
              <w:keepNext w:val="0"/>
              <w:keepLines w:val="0"/>
              <w:pageBreakBefore w:val="0"/>
              <w:kinsoku/>
              <w:overflowPunct/>
              <w:topLinePunct w:val="0"/>
              <w:autoSpaceDE/>
              <w:autoSpaceDN/>
              <w:bidi w:val="0"/>
              <w:snapToGrid w:val="0"/>
              <w:spacing w:after="0"/>
              <w:jc w:val="center"/>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拟建设生产规模</w:t>
            </w:r>
          </w:p>
        </w:tc>
        <w:tc>
          <w:tcPr>
            <w:tcW w:w="346" w:type="pct"/>
            <w:noWrap w:val="0"/>
            <w:vAlign w:val="center"/>
          </w:tcPr>
          <w:p>
            <w:pPr>
              <w:keepNext w:val="0"/>
              <w:keepLines w:val="0"/>
              <w:pageBreakBefore w:val="0"/>
              <w:kinsoku/>
              <w:overflowPunct/>
              <w:topLinePunct w:val="0"/>
              <w:autoSpaceDE/>
              <w:autoSpaceDN/>
              <w:bidi w:val="0"/>
              <w:snapToGrid w:val="0"/>
              <w:spacing w:after="0"/>
              <w:jc w:val="center"/>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出让年限(年)</w:t>
            </w:r>
          </w:p>
        </w:tc>
        <w:tc>
          <w:tcPr>
            <w:tcW w:w="403" w:type="pct"/>
            <w:noWrap w:val="0"/>
            <w:vAlign w:val="center"/>
          </w:tcPr>
          <w:p>
            <w:pPr>
              <w:keepNext w:val="0"/>
              <w:keepLines w:val="0"/>
              <w:pageBreakBefore w:val="0"/>
              <w:kinsoku/>
              <w:overflowPunct/>
              <w:topLinePunct w:val="0"/>
              <w:autoSpaceDE/>
              <w:autoSpaceDN/>
              <w:bidi w:val="0"/>
              <w:snapToGrid w:val="0"/>
              <w:spacing w:after="0"/>
              <w:jc w:val="center"/>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出让收益起始价（万元）</w:t>
            </w:r>
          </w:p>
        </w:tc>
        <w:tc>
          <w:tcPr>
            <w:tcW w:w="359" w:type="pct"/>
            <w:noWrap w:val="0"/>
            <w:vAlign w:val="center"/>
          </w:tcPr>
          <w:p>
            <w:pPr>
              <w:keepNext w:val="0"/>
              <w:keepLines w:val="0"/>
              <w:pageBreakBefore w:val="0"/>
              <w:kinsoku/>
              <w:overflowPunct/>
              <w:topLinePunct w:val="0"/>
              <w:autoSpaceDE/>
              <w:autoSpaceDN/>
              <w:bidi w:val="0"/>
              <w:snapToGrid w:val="0"/>
              <w:spacing w:after="0"/>
              <w:jc w:val="center"/>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保证金金额(万元)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689" w:type="pct"/>
            <w:noWrap w:val="0"/>
            <w:vAlign w:val="center"/>
          </w:tcPr>
          <w:p>
            <w:pPr>
              <w:keepNext w:val="0"/>
              <w:keepLines w:val="0"/>
              <w:pageBreakBefore w:val="0"/>
              <w:widowControl w:val="0"/>
              <w:kinsoku/>
              <w:overflowPunct/>
              <w:topLinePunct w:val="0"/>
              <w:autoSpaceDE/>
              <w:autoSpaceDN/>
              <w:bidi w:val="0"/>
              <w:adjustRightInd/>
              <w:snapToGrid w:val="0"/>
              <w:spacing w:after="0" w:line="400" w:lineRule="exact"/>
              <w:jc w:val="center"/>
              <w:textAlignment w:val="auto"/>
              <w:rPr>
                <w:rFonts w:hint="default" w:ascii="Times New Roman" w:hAnsi="Times New Roman" w:cs="Times New Roman" w:eastAsiaTheme="minorEastAsia"/>
                <w:bCs/>
                <w:color w:val="auto"/>
                <w:sz w:val="21"/>
                <w:szCs w:val="21"/>
                <w:lang w:val="en-US"/>
              </w:rPr>
            </w:pPr>
            <w:r>
              <w:rPr>
                <w:rFonts w:hint="default" w:ascii="Times New Roman" w:hAnsi="Times New Roman" w:cs="Times New Roman" w:eastAsiaTheme="minorEastAsia"/>
                <w:bCs/>
                <w:color w:val="auto"/>
                <w:sz w:val="21"/>
                <w:szCs w:val="21"/>
                <w:lang w:val="en-US" w:eastAsia="zh-CN"/>
              </w:rPr>
              <w:t>BNGC2025</w:t>
            </w:r>
            <w:r>
              <w:rPr>
                <w:rFonts w:hint="eastAsia" w:cs="Times New Roman" w:eastAsiaTheme="minorEastAsia"/>
                <w:bCs/>
                <w:color w:val="auto"/>
                <w:sz w:val="21"/>
                <w:szCs w:val="21"/>
                <w:lang w:val="en-US" w:eastAsia="zh-CN"/>
              </w:rPr>
              <w:t>01</w:t>
            </w:r>
          </w:p>
        </w:tc>
        <w:tc>
          <w:tcPr>
            <w:tcW w:w="501" w:type="pct"/>
            <w:noWrap w:val="0"/>
            <w:vAlign w:val="center"/>
          </w:tcPr>
          <w:p>
            <w:pPr>
              <w:keepNext w:val="0"/>
              <w:keepLines w:val="0"/>
              <w:pageBreakBefore w:val="0"/>
              <w:widowControl w:val="0"/>
              <w:kinsoku/>
              <w:overflowPunct/>
              <w:topLinePunct w:val="0"/>
              <w:autoSpaceDE/>
              <w:autoSpaceDN/>
              <w:bidi w:val="0"/>
              <w:adjustRightInd/>
              <w:snapToGrid w:val="0"/>
              <w:spacing w:after="0" w:line="400" w:lineRule="exact"/>
              <w:jc w:val="center"/>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i w:val="0"/>
                <w:iCs w:val="0"/>
                <w:color w:val="auto"/>
                <w:sz w:val="21"/>
                <w:szCs w:val="21"/>
                <w:lang w:val="en-US" w:eastAsia="zh-CN"/>
              </w:rPr>
              <w:t>重庆市巴南区东温泉镇佛灵街3号地热</w:t>
            </w:r>
          </w:p>
        </w:tc>
        <w:tc>
          <w:tcPr>
            <w:tcW w:w="437" w:type="pct"/>
            <w:noWrap w:val="0"/>
            <w:vAlign w:val="center"/>
          </w:tcPr>
          <w:p>
            <w:pPr>
              <w:keepNext w:val="0"/>
              <w:keepLines w:val="0"/>
              <w:pageBreakBefore w:val="0"/>
              <w:widowControl w:val="0"/>
              <w:kinsoku/>
              <w:overflowPunct/>
              <w:topLinePunct w:val="0"/>
              <w:autoSpaceDE/>
              <w:autoSpaceDN/>
              <w:bidi w:val="0"/>
              <w:adjustRightInd/>
              <w:snapToGrid w:val="0"/>
              <w:spacing w:after="0" w:line="400" w:lineRule="exact"/>
              <w:jc w:val="center"/>
              <w:textAlignment w:val="auto"/>
              <w:rPr>
                <w:rFonts w:hint="default" w:ascii="Times New Roman" w:hAnsi="Times New Roman" w:cs="Times New Roman" w:eastAsiaTheme="minorEastAsia"/>
                <w:color w:val="auto"/>
                <w:sz w:val="21"/>
                <w:szCs w:val="21"/>
                <w:lang w:val="en-US"/>
              </w:rPr>
            </w:pPr>
            <w:r>
              <w:rPr>
                <w:rFonts w:hint="default" w:ascii="Times New Roman" w:hAnsi="Times New Roman" w:cs="Times New Roman" w:eastAsiaTheme="minorEastAsia"/>
                <w:i w:val="0"/>
                <w:iCs w:val="0"/>
                <w:color w:val="auto"/>
                <w:sz w:val="21"/>
                <w:szCs w:val="21"/>
                <w:lang w:val="en-US" w:eastAsia="zh-CN"/>
              </w:rPr>
              <w:t>重庆市巴南区东温泉镇佛灵街3号</w:t>
            </w:r>
          </w:p>
        </w:tc>
        <w:tc>
          <w:tcPr>
            <w:tcW w:w="259" w:type="pct"/>
            <w:noWrap w:val="0"/>
            <w:vAlign w:val="center"/>
          </w:tcPr>
          <w:p>
            <w:pPr>
              <w:keepNext w:val="0"/>
              <w:keepLines w:val="0"/>
              <w:pageBreakBefore w:val="0"/>
              <w:widowControl w:val="0"/>
              <w:kinsoku/>
              <w:overflowPunct/>
              <w:topLinePunct w:val="0"/>
              <w:autoSpaceDE/>
              <w:autoSpaceDN/>
              <w:bidi w:val="0"/>
              <w:adjustRightInd/>
              <w:snapToGrid w:val="0"/>
              <w:spacing w:after="0" w:line="400" w:lineRule="exact"/>
              <w:jc w:val="center"/>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i w:val="0"/>
                <w:iCs w:val="0"/>
                <w:color w:val="auto"/>
                <w:sz w:val="21"/>
                <w:szCs w:val="21"/>
                <w:lang w:val="en-US" w:eastAsia="zh-CN"/>
              </w:rPr>
              <w:t>地热</w:t>
            </w:r>
          </w:p>
        </w:tc>
        <w:tc>
          <w:tcPr>
            <w:tcW w:w="494" w:type="pct"/>
            <w:noWrap w:val="0"/>
            <w:vAlign w:val="center"/>
          </w:tcPr>
          <w:p>
            <w:pPr>
              <w:keepNext w:val="0"/>
              <w:keepLines w:val="0"/>
              <w:pageBreakBefore w:val="0"/>
              <w:widowControl w:val="0"/>
              <w:kinsoku/>
              <w:overflowPunct/>
              <w:topLinePunct w:val="0"/>
              <w:autoSpaceDE/>
              <w:autoSpaceDN/>
              <w:bidi w:val="0"/>
              <w:adjustRightInd/>
              <w:snapToGrid w:val="0"/>
              <w:spacing w:after="0" w:line="400" w:lineRule="exact"/>
              <w:jc w:val="center"/>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i w:val="0"/>
                <w:iCs w:val="0"/>
                <w:color w:val="auto"/>
                <w:sz w:val="21"/>
                <w:szCs w:val="21"/>
                <w:lang w:val="en-US" w:eastAsia="zh-CN"/>
              </w:rPr>
              <w:t>详见《出让文件》</w:t>
            </w:r>
          </w:p>
        </w:tc>
        <w:tc>
          <w:tcPr>
            <w:tcW w:w="369" w:type="pct"/>
            <w:noWrap w:val="0"/>
            <w:vAlign w:val="center"/>
          </w:tcPr>
          <w:p>
            <w:pPr>
              <w:keepNext w:val="0"/>
              <w:keepLines w:val="0"/>
              <w:pageBreakBefore w:val="0"/>
              <w:widowControl w:val="0"/>
              <w:kinsoku/>
              <w:overflowPunct/>
              <w:topLinePunct w:val="0"/>
              <w:autoSpaceDE/>
              <w:autoSpaceDN/>
              <w:bidi w:val="0"/>
              <w:adjustRightInd/>
              <w:snapToGrid w:val="0"/>
              <w:spacing w:after="0" w:line="400" w:lineRule="exact"/>
              <w:jc w:val="center"/>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i w:val="0"/>
                <w:iCs w:val="0"/>
                <w:color w:val="auto"/>
                <w:sz w:val="21"/>
                <w:szCs w:val="21"/>
                <w:lang w:val="en-US" w:eastAsia="zh-CN"/>
              </w:rPr>
              <w:t>36.5万立方米/年</w:t>
            </w:r>
          </w:p>
        </w:tc>
        <w:tc>
          <w:tcPr>
            <w:tcW w:w="461" w:type="pct"/>
            <w:noWrap w:val="0"/>
            <w:vAlign w:val="center"/>
          </w:tcPr>
          <w:p>
            <w:pPr>
              <w:keepNext w:val="0"/>
              <w:keepLines w:val="0"/>
              <w:pageBreakBefore w:val="0"/>
              <w:widowControl w:val="0"/>
              <w:kinsoku/>
              <w:overflowPunct/>
              <w:topLinePunct w:val="0"/>
              <w:autoSpaceDE/>
              <w:autoSpaceDN/>
              <w:bidi w:val="0"/>
              <w:adjustRightInd/>
              <w:snapToGrid w:val="0"/>
              <w:spacing w:after="0" w:line="400" w:lineRule="exact"/>
              <w:jc w:val="center"/>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i w:val="0"/>
                <w:iCs w:val="0"/>
                <w:color w:val="auto"/>
                <w:sz w:val="21"/>
                <w:szCs w:val="21"/>
                <w:lang w:val="en-US" w:eastAsia="zh-CN"/>
              </w:rPr>
              <w:t>0.0097</w:t>
            </w:r>
          </w:p>
        </w:tc>
        <w:tc>
          <w:tcPr>
            <w:tcW w:w="331" w:type="pct"/>
            <w:noWrap w:val="0"/>
            <w:vAlign w:val="center"/>
          </w:tcPr>
          <w:p>
            <w:pPr>
              <w:keepNext w:val="0"/>
              <w:keepLines w:val="0"/>
              <w:pageBreakBefore w:val="0"/>
              <w:widowControl w:val="0"/>
              <w:kinsoku/>
              <w:overflowPunct/>
              <w:topLinePunct w:val="0"/>
              <w:autoSpaceDE/>
              <w:autoSpaceDN/>
              <w:bidi w:val="0"/>
              <w:adjustRightInd/>
              <w:snapToGrid w:val="0"/>
              <w:spacing w:after="0" w:line="400" w:lineRule="exact"/>
              <w:jc w:val="center"/>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i w:val="0"/>
                <w:iCs w:val="0"/>
                <w:color w:val="auto"/>
                <w:sz w:val="21"/>
                <w:szCs w:val="21"/>
                <w:lang w:val="en-US" w:eastAsia="zh-CN"/>
              </w:rPr>
              <w:t>+73米至-39米</w:t>
            </w:r>
          </w:p>
        </w:tc>
        <w:tc>
          <w:tcPr>
            <w:tcW w:w="345" w:type="pct"/>
            <w:noWrap w:val="0"/>
            <w:vAlign w:val="center"/>
          </w:tcPr>
          <w:p>
            <w:pPr>
              <w:keepNext w:val="0"/>
              <w:keepLines w:val="0"/>
              <w:pageBreakBefore w:val="0"/>
              <w:widowControl w:val="0"/>
              <w:kinsoku/>
              <w:overflowPunct/>
              <w:topLinePunct w:val="0"/>
              <w:autoSpaceDE/>
              <w:autoSpaceDN/>
              <w:bidi w:val="0"/>
              <w:adjustRightInd/>
              <w:snapToGrid w:val="0"/>
              <w:spacing w:after="0" w:line="400" w:lineRule="exact"/>
              <w:jc w:val="center"/>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i w:val="0"/>
                <w:iCs w:val="0"/>
                <w:color w:val="auto"/>
                <w:sz w:val="21"/>
                <w:szCs w:val="21"/>
                <w:lang w:val="en-US" w:eastAsia="zh-CN"/>
              </w:rPr>
              <w:t>36.5万立方米/年</w:t>
            </w:r>
          </w:p>
        </w:tc>
        <w:tc>
          <w:tcPr>
            <w:tcW w:w="346" w:type="pct"/>
            <w:noWrap w:val="0"/>
            <w:vAlign w:val="center"/>
          </w:tcPr>
          <w:p>
            <w:pPr>
              <w:keepNext w:val="0"/>
              <w:keepLines w:val="0"/>
              <w:pageBreakBefore w:val="0"/>
              <w:widowControl w:val="0"/>
              <w:kinsoku/>
              <w:overflowPunct/>
              <w:topLinePunct w:val="0"/>
              <w:autoSpaceDE/>
              <w:autoSpaceDN/>
              <w:bidi w:val="0"/>
              <w:adjustRightInd/>
              <w:snapToGrid w:val="0"/>
              <w:spacing w:after="0" w:line="400" w:lineRule="exact"/>
              <w:jc w:val="center"/>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i w:val="0"/>
                <w:iCs w:val="0"/>
                <w:color w:val="auto"/>
                <w:sz w:val="21"/>
                <w:szCs w:val="21"/>
                <w:lang w:val="en-US" w:eastAsia="zh-CN"/>
              </w:rPr>
              <w:t>10</w:t>
            </w:r>
          </w:p>
        </w:tc>
        <w:tc>
          <w:tcPr>
            <w:tcW w:w="403" w:type="pct"/>
            <w:noWrap w:val="0"/>
            <w:vAlign w:val="center"/>
          </w:tcPr>
          <w:p>
            <w:pPr>
              <w:keepNext w:val="0"/>
              <w:keepLines w:val="0"/>
              <w:pageBreakBefore w:val="0"/>
              <w:widowControl w:val="0"/>
              <w:kinsoku/>
              <w:overflowPunct/>
              <w:topLinePunct w:val="0"/>
              <w:autoSpaceDE/>
              <w:autoSpaceDN/>
              <w:bidi w:val="0"/>
              <w:adjustRightInd/>
              <w:snapToGrid w:val="0"/>
              <w:spacing w:after="0" w:line="400" w:lineRule="exact"/>
              <w:jc w:val="center"/>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0.</w:t>
            </w:r>
            <w:r>
              <w:rPr>
                <w:rFonts w:hint="default" w:ascii="Times New Roman" w:hAnsi="Times New Roman" w:cs="Times New Roman" w:eastAsiaTheme="minorEastAsia"/>
                <w:color w:val="auto"/>
                <w:sz w:val="21"/>
                <w:szCs w:val="21"/>
                <w:lang w:val="en-US" w:eastAsia="zh-CN"/>
              </w:rPr>
              <w:t>291</w:t>
            </w:r>
          </w:p>
        </w:tc>
        <w:tc>
          <w:tcPr>
            <w:tcW w:w="359" w:type="pct"/>
            <w:noWrap w:val="0"/>
            <w:vAlign w:val="center"/>
          </w:tcPr>
          <w:p>
            <w:pPr>
              <w:keepNext w:val="0"/>
              <w:keepLines w:val="0"/>
              <w:pageBreakBefore w:val="0"/>
              <w:widowControl w:val="0"/>
              <w:kinsoku/>
              <w:overflowPunct/>
              <w:topLinePunct w:val="0"/>
              <w:autoSpaceDE/>
              <w:autoSpaceDN/>
              <w:bidi w:val="0"/>
              <w:adjustRightInd/>
              <w:snapToGrid w:val="0"/>
              <w:spacing w:after="0" w:line="400" w:lineRule="exact"/>
              <w:jc w:val="center"/>
              <w:textAlignment w:val="auto"/>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color w:val="auto"/>
                <w:sz w:val="21"/>
                <w:szCs w:val="21"/>
                <w:lang w:val="en-US" w:eastAsia="zh-CN"/>
              </w:rPr>
              <w:t>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5000" w:type="pct"/>
            <w:gridSpan w:val="12"/>
            <w:noWrap w:val="0"/>
            <w:vAlign w:val="center"/>
          </w:tcPr>
          <w:p>
            <w:pPr>
              <w:keepNext w:val="0"/>
              <w:keepLines w:val="0"/>
              <w:pageBreakBefore w:val="0"/>
              <w:kinsoku/>
              <w:overflowPunct/>
              <w:topLinePunct w:val="0"/>
              <w:autoSpaceDE/>
              <w:autoSpaceDN/>
              <w:bidi w:val="0"/>
              <w:snapToGrid w:val="0"/>
              <w:spacing w:after="0"/>
              <w:jc w:val="left"/>
              <w:textAlignment w:val="auto"/>
              <w:rPr>
                <w:rFonts w:hint="default" w:ascii="Times New Roman" w:hAnsi="Times New Roman" w:cs="Times New Roman" w:eastAsiaTheme="minorEastAsia"/>
                <w:color w:val="auto"/>
                <w:sz w:val="21"/>
                <w:szCs w:val="21"/>
                <w:u w:val="single"/>
              </w:rPr>
            </w:pPr>
            <w:r>
              <w:rPr>
                <w:rFonts w:hint="default" w:ascii="Times New Roman" w:hAnsi="Times New Roman" w:cs="Times New Roman" w:eastAsiaTheme="minorEastAsia"/>
                <w:color w:val="auto"/>
                <w:sz w:val="21"/>
                <w:szCs w:val="21"/>
              </w:rPr>
              <w:t>备注：</w:t>
            </w:r>
            <w:r>
              <w:rPr>
                <w:rFonts w:hint="default" w:ascii="Times New Roman" w:hAnsi="Times New Roman" w:cs="Times New Roman" w:eastAsiaTheme="minorEastAsia"/>
                <w:i w:val="0"/>
                <w:iCs w:val="0"/>
                <w:color w:val="auto"/>
                <w:sz w:val="21"/>
                <w:szCs w:val="21"/>
                <w:u w:val="none"/>
                <w:lang w:val="en-US" w:eastAsia="zh-CN"/>
              </w:rPr>
              <w:t>在矿山开采时，采矿权人按矿业权出让收益率3.6%逐年向税务部门申报缴纳采矿权出让收益。</w:t>
            </w:r>
          </w:p>
        </w:tc>
      </w:tr>
    </w:tbl>
    <w:p>
      <w:pPr>
        <w:keepNext w:val="0"/>
        <w:keepLines w:val="0"/>
        <w:pageBreakBefore w:val="0"/>
        <w:kinsoku/>
        <w:overflowPunct/>
        <w:topLinePunct w:val="0"/>
        <w:autoSpaceDE/>
        <w:autoSpaceDN/>
        <w:bidi w:val="0"/>
        <w:snapToGrid w:val="0"/>
        <w:spacing w:after="0" w:line="400" w:lineRule="exact"/>
        <w:ind w:firstLine="442" w:firstLineChars="200"/>
        <w:textAlignment w:val="auto"/>
        <w:rPr>
          <w:rFonts w:hint="default" w:ascii="Times New Roman" w:hAnsi="Times New Roman" w:cs="Times New Roman" w:eastAsiaTheme="minorEastAsia"/>
          <w:color w:val="auto"/>
          <w:sz w:val="22"/>
        </w:rPr>
      </w:pPr>
      <w:r>
        <w:rPr>
          <w:rFonts w:hint="default" w:ascii="Times New Roman" w:hAnsi="Times New Roman" w:cs="Times New Roman" w:eastAsiaTheme="minorEastAsia"/>
          <w:b/>
          <w:color w:val="auto"/>
          <w:sz w:val="22"/>
        </w:rPr>
        <w:t>二、出让人：</w:t>
      </w:r>
      <w:r>
        <w:rPr>
          <w:rFonts w:hint="default" w:ascii="Times New Roman" w:hAnsi="Times New Roman" w:cs="Times New Roman" w:eastAsiaTheme="minorEastAsia"/>
          <w:i w:val="0"/>
          <w:iCs w:val="0"/>
          <w:color w:val="auto"/>
          <w:sz w:val="22"/>
          <w:szCs w:val="22"/>
        </w:rPr>
        <w:t>重庆市</w:t>
      </w:r>
      <w:r>
        <w:rPr>
          <w:rFonts w:hint="default" w:ascii="Times New Roman" w:hAnsi="Times New Roman" w:cs="Times New Roman" w:eastAsiaTheme="minorEastAsia"/>
          <w:i w:val="0"/>
          <w:iCs w:val="0"/>
          <w:color w:val="auto"/>
          <w:sz w:val="22"/>
          <w:szCs w:val="22"/>
          <w:lang w:val="en-US" w:eastAsia="zh-CN"/>
        </w:rPr>
        <w:t>巴南</w:t>
      </w:r>
      <w:r>
        <w:rPr>
          <w:rFonts w:hint="default" w:ascii="Times New Roman" w:hAnsi="Times New Roman" w:cs="Times New Roman" w:eastAsiaTheme="minorEastAsia"/>
          <w:i w:val="0"/>
          <w:iCs w:val="0"/>
          <w:color w:val="auto"/>
          <w:sz w:val="22"/>
          <w:szCs w:val="22"/>
        </w:rPr>
        <w:t>区规划和自然资源局，地址：重庆市</w:t>
      </w:r>
      <w:r>
        <w:rPr>
          <w:rFonts w:hint="default" w:ascii="Times New Roman" w:hAnsi="Times New Roman" w:cs="Times New Roman" w:eastAsiaTheme="minorEastAsia"/>
          <w:i w:val="0"/>
          <w:iCs w:val="0"/>
          <w:color w:val="auto"/>
          <w:sz w:val="22"/>
          <w:szCs w:val="22"/>
          <w:lang w:val="en-US" w:eastAsia="zh-CN"/>
        </w:rPr>
        <w:t>巴南区龙洲湾街道龙洲大道108</w:t>
      </w:r>
      <w:r>
        <w:rPr>
          <w:rFonts w:hint="default" w:ascii="Times New Roman" w:hAnsi="Times New Roman" w:cs="Times New Roman" w:eastAsiaTheme="minorEastAsia"/>
          <w:i w:val="0"/>
          <w:iCs w:val="0"/>
          <w:color w:val="auto"/>
          <w:sz w:val="22"/>
          <w:szCs w:val="22"/>
        </w:rPr>
        <w:t>号，联系人：</w:t>
      </w:r>
      <w:r>
        <w:rPr>
          <w:rFonts w:hint="default" w:ascii="Times New Roman" w:hAnsi="Times New Roman" w:cs="Times New Roman" w:eastAsiaTheme="minorEastAsia"/>
          <w:i w:val="0"/>
          <w:iCs w:val="0"/>
          <w:color w:val="auto"/>
          <w:sz w:val="22"/>
          <w:szCs w:val="22"/>
          <w:lang w:val="en-US" w:eastAsia="zh-CN"/>
        </w:rPr>
        <w:t>陈</w:t>
      </w:r>
      <w:r>
        <w:rPr>
          <w:rFonts w:hint="default" w:ascii="Times New Roman" w:hAnsi="Times New Roman" w:cs="Times New Roman" w:eastAsiaTheme="minorEastAsia"/>
          <w:i w:val="0"/>
          <w:iCs w:val="0"/>
          <w:color w:val="auto"/>
          <w:sz w:val="22"/>
          <w:szCs w:val="22"/>
        </w:rPr>
        <w:t>老师，联系电话：</w:t>
      </w:r>
      <w:r>
        <w:rPr>
          <w:rFonts w:hint="default" w:ascii="Times New Roman" w:hAnsi="Times New Roman" w:cs="Times New Roman" w:eastAsiaTheme="minorEastAsia"/>
          <w:i w:val="0"/>
          <w:iCs w:val="0"/>
          <w:color w:val="auto"/>
          <w:sz w:val="22"/>
          <w:szCs w:val="22"/>
          <w:lang w:val="en-US" w:eastAsia="zh-CN"/>
        </w:rPr>
        <w:t>023-66221704</w:t>
      </w:r>
      <w:r>
        <w:rPr>
          <w:rFonts w:hint="default" w:ascii="Times New Roman" w:hAnsi="Times New Roman" w:cs="Times New Roman" w:eastAsiaTheme="minorEastAsia"/>
          <w:i w:val="0"/>
          <w:iCs w:val="0"/>
          <w:color w:val="auto"/>
          <w:sz w:val="22"/>
          <w:szCs w:val="22"/>
        </w:rPr>
        <w:t>。</w:t>
      </w:r>
    </w:p>
    <w:p>
      <w:pPr>
        <w:keepNext w:val="0"/>
        <w:keepLines w:val="0"/>
        <w:pageBreakBefore w:val="0"/>
        <w:kinsoku/>
        <w:overflowPunct/>
        <w:topLinePunct w:val="0"/>
        <w:autoSpaceDE/>
        <w:autoSpaceDN/>
        <w:bidi w:val="0"/>
        <w:snapToGrid w:val="0"/>
        <w:spacing w:after="0" w:line="400" w:lineRule="exact"/>
        <w:ind w:firstLine="442" w:firstLineChars="200"/>
        <w:textAlignment w:val="auto"/>
        <w:rPr>
          <w:rFonts w:hint="default" w:ascii="Times New Roman" w:hAnsi="Times New Roman" w:cs="Times New Roman" w:eastAsiaTheme="minorEastAsia"/>
          <w:color w:val="auto"/>
          <w:sz w:val="22"/>
        </w:rPr>
      </w:pPr>
      <w:r>
        <w:rPr>
          <w:rFonts w:hint="default" w:ascii="Times New Roman" w:hAnsi="Times New Roman" w:cs="Times New Roman" w:eastAsiaTheme="minorEastAsia"/>
          <w:b/>
          <w:color w:val="auto"/>
          <w:sz w:val="22"/>
        </w:rPr>
        <w:t>三、交易平台：</w:t>
      </w:r>
      <w:r>
        <w:rPr>
          <w:rFonts w:hint="default" w:ascii="Times New Roman" w:hAnsi="Times New Roman" w:cs="Times New Roman" w:eastAsiaTheme="minorEastAsia"/>
          <w:color w:val="auto"/>
          <w:sz w:val="22"/>
        </w:rPr>
        <w:t>重庆市公共资源交易中心</w:t>
      </w:r>
      <w:r>
        <w:rPr>
          <w:rFonts w:hint="default" w:ascii="Times New Roman" w:hAnsi="Times New Roman" w:cs="Times New Roman" w:eastAsiaTheme="minorEastAsia"/>
          <w:bCs/>
          <w:color w:val="auto"/>
          <w:sz w:val="22"/>
        </w:rPr>
        <w:t>，</w:t>
      </w:r>
      <w:r>
        <w:rPr>
          <w:rFonts w:hint="default" w:ascii="Times New Roman" w:hAnsi="Times New Roman" w:cs="Times New Roman" w:eastAsiaTheme="minorEastAsia"/>
          <w:color w:val="auto"/>
          <w:sz w:val="22"/>
        </w:rPr>
        <w:t>地址：重庆市渝北区青枫北路6号渝兴广场B9、B10栋，联系人：王老师，联系电话：023-63628117。</w:t>
      </w:r>
    </w:p>
    <w:p>
      <w:pPr>
        <w:keepNext w:val="0"/>
        <w:keepLines w:val="0"/>
        <w:pageBreakBefore w:val="0"/>
        <w:kinsoku/>
        <w:overflowPunct/>
        <w:topLinePunct w:val="0"/>
        <w:autoSpaceDE/>
        <w:autoSpaceDN/>
        <w:bidi w:val="0"/>
        <w:snapToGrid w:val="0"/>
        <w:spacing w:after="0" w:line="400" w:lineRule="exact"/>
        <w:ind w:firstLine="442" w:firstLineChars="200"/>
        <w:textAlignment w:val="auto"/>
        <w:rPr>
          <w:rFonts w:hint="default" w:ascii="Times New Roman" w:hAnsi="Times New Roman" w:cs="Times New Roman" w:eastAsiaTheme="minorEastAsia"/>
          <w:b/>
          <w:color w:val="auto"/>
          <w:sz w:val="22"/>
        </w:rPr>
      </w:pPr>
      <w:r>
        <w:rPr>
          <w:rFonts w:hint="default" w:ascii="Times New Roman" w:hAnsi="Times New Roman" w:cs="Times New Roman" w:eastAsiaTheme="minorEastAsia"/>
          <w:b/>
          <w:color w:val="auto"/>
          <w:sz w:val="22"/>
        </w:rPr>
        <w:t>四、竞买人的资质条件：</w:t>
      </w:r>
    </w:p>
    <w:p>
      <w:pPr>
        <w:keepNext w:val="0"/>
        <w:keepLines w:val="0"/>
        <w:pageBreakBefore w:val="0"/>
        <w:kinsoku/>
        <w:overflowPunct/>
        <w:topLinePunct w:val="0"/>
        <w:autoSpaceDE/>
        <w:autoSpaceDN/>
        <w:bidi w:val="0"/>
        <w:snapToGrid w:val="0"/>
        <w:spacing w:after="0" w:line="400" w:lineRule="exact"/>
        <w:ind w:firstLine="440" w:firstLineChars="200"/>
        <w:textAlignment w:val="auto"/>
        <w:rPr>
          <w:rFonts w:hint="default" w:ascii="Times New Roman" w:hAnsi="Times New Roman" w:cs="Times New Roman" w:eastAsiaTheme="minorEastAsia"/>
          <w:color w:val="auto"/>
          <w:sz w:val="22"/>
        </w:rPr>
      </w:pPr>
      <w:r>
        <w:rPr>
          <w:rFonts w:hint="default" w:ascii="Times New Roman" w:hAnsi="Times New Roman" w:cs="Times New Roman" w:eastAsiaTheme="minorEastAsia"/>
          <w:color w:val="auto"/>
          <w:sz w:val="22"/>
        </w:rPr>
        <w:t>（一）竞买申请人须为营利法人；</w:t>
      </w:r>
    </w:p>
    <w:p>
      <w:pPr>
        <w:keepNext w:val="0"/>
        <w:keepLines w:val="0"/>
        <w:pageBreakBefore w:val="0"/>
        <w:kinsoku/>
        <w:overflowPunct/>
        <w:topLinePunct w:val="0"/>
        <w:autoSpaceDE/>
        <w:autoSpaceDN/>
        <w:bidi w:val="0"/>
        <w:snapToGrid w:val="0"/>
        <w:spacing w:after="0" w:line="400" w:lineRule="exact"/>
        <w:ind w:firstLine="440" w:firstLineChars="200"/>
        <w:textAlignment w:val="auto"/>
        <w:rPr>
          <w:rFonts w:hint="default" w:ascii="Times New Roman" w:hAnsi="Times New Roman" w:cs="Times New Roman" w:eastAsiaTheme="minorEastAsia"/>
          <w:color w:val="auto"/>
          <w:sz w:val="22"/>
        </w:rPr>
      </w:pPr>
      <w:r>
        <w:rPr>
          <w:rFonts w:hint="default" w:ascii="Times New Roman" w:hAnsi="Times New Roman" w:cs="Times New Roman" w:eastAsiaTheme="minorEastAsia"/>
          <w:color w:val="auto"/>
          <w:sz w:val="22"/>
        </w:rPr>
        <w:t>（二）竞买申请人属于以下情形之一的不得参与竞买：</w:t>
      </w:r>
    </w:p>
    <w:p>
      <w:pPr>
        <w:keepNext w:val="0"/>
        <w:keepLines w:val="0"/>
        <w:pageBreakBefore w:val="0"/>
        <w:kinsoku/>
        <w:overflowPunct/>
        <w:topLinePunct w:val="0"/>
        <w:autoSpaceDE/>
        <w:autoSpaceDN/>
        <w:bidi w:val="0"/>
        <w:snapToGrid w:val="0"/>
        <w:spacing w:after="0" w:line="400" w:lineRule="exact"/>
        <w:ind w:firstLine="440" w:firstLineChars="200"/>
        <w:textAlignment w:val="auto"/>
        <w:rPr>
          <w:rFonts w:hint="default" w:ascii="Times New Roman" w:hAnsi="Times New Roman" w:cs="Times New Roman" w:eastAsiaTheme="minorEastAsia"/>
          <w:color w:val="auto"/>
          <w:sz w:val="22"/>
        </w:rPr>
      </w:pPr>
      <w:r>
        <w:rPr>
          <w:rFonts w:hint="default" w:ascii="Times New Roman" w:hAnsi="Times New Roman" w:cs="Times New Roman" w:eastAsiaTheme="minorEastAsia"/>
          <w:color w:val="auto"/>
          <w:sz w:val="22"/>
        </w:rPr>
        <w:t>1.在全国矿业权人勘查开采信息管理系统的“矿业权人异常名录”、“矿业权严重失信主体”内的；</w:t>
      </w:r>
    </w:p>
    <w:p>
      <w:pPr>
        <w:keepNext w:val="0"/>
        <w:keepLines w:val="0"/>
        <w:pageBreakBefore w:val="0"/>
        <w:kinsoku/>
        <w:overflowPunct/>
        <w:topLinePunct w:val="0"/>
        <w:autoSpaceDE/>
        <w:autoSpaceDN/>
        <w:bidi w:val="0"/>
        <w:snapToGrid w:val="0"/>
        <w:spacing w:after="0" w:line="400" w:lineRule="exact"/>
        <w:ind w:firstLine="440" w:firstLineChars="200"/>
        <w:textAlignment w:val="auto"/>
        <w:rPr>
          <w:rFonts w:hint="default" w:ascii="Times New Roman" w:hAnsi="Times New Roman" w:cs="Times New Roman" w:eastAsiaTheme="minorEastAsia"/>
          <w:color w:val="auto"/>
          <w:sz w:val="22"/>
        </w:rPr>
      </w:pPr>
      <w:r>
        <w:rPr>
          <w:rFonts w:hint="default" w:ascii="Times New Roman" w:hAnsi="Times New Roman" w:cs="Times New Roman" w:eastAsiaTheme="minorEastAsia"/>
          <w:color w:val="auto"/>
          <w:sz w:val="22"/>
        </w:rPr>
        <w:t>2.通过“信用中国”查询，在自然资源部联合惩戒备忘录或重庆市信用惩戒严重失信主体“黑名单”内限制禁止参与矿业权出让的；</w:t>
      </w:r>
    </w:p>
    <w:p>
      <w:pPr>
        <w:keepNext w:val="0"/>
        <w:keepLines w:val="0"/>
        <w:pageBreakBefore w:val="0"/>
        <w:kinsoku/>
        <w:overflowPunct/>
        <w:topLinePunct w:val="0"/>
        <w:autoSpaceDE/>
        <w:autoSpaceDN/>
        <w:bidi w:val="0"/>
        <w:snapToGrid w:val="0"/>
        <w:spacing w:after="0" w:line="400" w:lineRule="exact"/>
        <w:ind w:firstLine="440" w:firstLineChars="200"/>
        <w:textAlignment w:val="auto"/>
        <w:rPr>
          <w:rFonts w:hint="default" w:ascii="Times New Roman" w:hAnsi="Times New Roman" w:cs="Times New Roman" w:eastAsiaTheme="minorEastAsia"/>
          <w:color w:val="auto"/>
          <w:sz w:val="22"/>
        </w:rPr>
      </w:pPr>
      <w:r>
        <w:rPr>
          <w:rFonts w:hint="default" w:ascii="Times New Roman" w:hAnsi="Times New Roman" w:cs="Times New Roman" w:eastAsiaTheme="minorEastAsia"/>
          <w:color w:val="auto"/>
          <w:sz w:val="22"/>
        </w:rPr>
        <w:t>3.被吊销采矿许可证且自吊销之日起未满2年的。</w:t>
      </w:r>
    </w:p>
    <w:p>
      <w:pPr>
        <w:keepNext w:val="0"/>
        <w:keepLines w:val="0"/>
        <w:pageBreakBefore w:val="0"/>
        <w:kinsoku/>
        <w:overflowPunct/>
        <w:topLinePunct w:val="0"/>
        <w:autoSpaceDE/>
        <w:autoSpaceDN/>
        <w:bidi w:val="0"/>
        <w:snapToGrid w:val="0"/>
        <w:spacing w:after="0" w:line="400" w:lineRule="exact"/>
        <w:ind w:firstLine="442" w:firstLineChars="200"/>
        <w:textAlignment w:val="auto"/>
        <w:rPr>
          <w:rFonts w:hint="default" w:ascii="Times New Roman" w:hAnsi="Times New Roman" w:cs="Times New Roman" w:eastAsiaTheme="minorEastAsia"/>
          <w:b/>
          <w:color w:val="auto"/>
          <w:sz w:val="22"/>
        </w:rPr>
      </w:pPr>
      <w:r>
        <w:rPr>
          <w:rFonts w:hint="default" w:ascii="Times New Roman" w:hAnsi="Times New Roman" w:cs="Times New Roman" w:eastAsiaTheme="minorEastAsia"/>
          <w:b/>
          <w:color w:val="auto"/>
          <w:sz w:val="22"/>
        </w:rPr>
        <w:t>五、出让方式及交易的时间、地点</w:t>
      </w:r>
    </w:p>
    <w:p>
      <w:pPr>
        <w:keepNext w:val="0"/>
        <w:keepLines w:val="0"/>
        <w:pageBreakBefore w:val="0"/>
        <w:kinsoku/>
        <w:overflowPunct/>
        <w:topLinePunct w:val="0"/>
        <w:autoSpaceDE/>
        <w:autoSpaceDN/>
        <w:bidi w:val="0"/>
        <w:snapToGrid w:val="0"/>
        <w:spacing w:after="0" w:line="400" w:lineRule="exact"/>
        <w:ind w:firstLine="440" w:firstLineChars="200"/>
        <w:textAlignment w:val="auto"/>
        <w:rPr>
          <w:rFonts w:hint="default" w:ascii="Times New Roman" w:hAnsi="Times New Roman" w:cs="Times New Roman" w:eastAsiaTheme="minorEastAsia"/>
          <w:color w:val="auto"/>
          <w:sz w:val="22"/>
        </w:rPr>
      </w:pPr>
      <w:r>
        <w:rPr>
          <w:rFonts w:hint="default" w:ascii="Times New Roman" w:hAnsi="Times New Roman" w:cs="Times New Roman" w:eastAsiaTheme="minorEastAsia"/>
          <w:color w:val="auto"/>
          <w:sz w:val="22"/>
        </w:rPr>
        <w:t>出让方式：</w:t>
      </w:r>
      <w:r>
        <w:rPr>
          <w:rFonts w:hint="default" w:ascii="Times New Roman" w:hAnsi="Times New Roman" w:cs="Times New Roman" w:eastAsiaTheme="minorEastAsia"/>
          <w:color w:val="auto"/>
          <w:sz w:val="22"/>
          <w:u w:val="single"/>
          <w:lang w:val="en-US" w:eastAsia="zh-CN"/>
        </w:rPr>
        <w:t>拍卖</w:t>
      </w:r>
    </w:p>
    <w:p>
      <w:pPr>
        <w:keepNext w:val="0"/>
        <w:keepLines w:val="0"/>
        <w:pageBreakBefore w:val="0"/>
        <w:kinsoku/>
        <w:overflowPunct/>
        <w:topLinePunct w:val="0"/>
        <w:autoSpaceDE/>
        <w:autoSpaceDN/>
        <w:bidi w:val="0"/>
        <w:snapToGrid w:val="0"/>
        <w:spacing w:after="0" w:line="400" w:lineRule="exact"/>
        <w:ind w:firstLine="440" w:firstLineChars="200"/>
        <w:textAlignment w:val="auto"/>
        <w:rPr>
          <w:rFonts w:hint="default" w:ascii="Times New Roman" w:hAnsi="Times New Roman" w:cs="Times New Roman" w:eastAsiaTheme="minorEastAsia"/>
          <w:color w:val="auto"/>
          <w:sz w:val="22"/>
        </w:rPr>
      </w:pPr>
      <w:r>
        <w:rPr>
          <w:rFonts w:hint="default" w:ascii="Times New Roman" w:hAnsi="Times New Roman" w:cs="Times New Roman" w:eastAsiaTheme="minorEastAsia"/>
          <w:color w:val="auto"/>
          <w:sz w:val="22"/>
        </w:rPr>
        <w:t>公告时间：202</w:t>
      </w:r>
      <w:r>
        <w:rPr>
          <w:rFonts w:hint="eastAsia" w:ascii="Times New Roman" w:hAnsi="Times New Roman" w:cs="Times New Roman" w:eastAsiaTheme="minorEastAsia"/>
          <w:color w:val="auto"/>
          <w:sz w:val="22"/>
          <w:lang w:val="en-US" w:eastAsia="zh-CN"/>
        </w:rPr>
        <w:t>5</w:t>
      </w:r>
      <w:r>
        <w:rPr>
          <w:rFonts w:hint="default" w:ascii="Times New Roman" w:hAnsi="Times New Roman" w:cs="Times New Roman" w:eastAsiaTheme="minorEastAsia"/>
          <w:color w:val="auto"/>
          <w:sz w:val="22"/>
        </w:rPr>
        <w:t>年</w:t>
      </w:r>
      <w:r>
        <w:rPr>
          <w:rFonts w:hint="eastAsia" w:cs="Times New Roman" w:eastAsiaTheme="minorEastAsia"/>
          <w:color w:val="auto"/>
          <w:sz w:val="22"/>
          <w:u w:val="single"/>
          <w:lang w:val="en-US" w:eastAsia="zh-CN"/>
        </w:rPr>
        <w:t>5</w:t>
      </w:r>
      <w:r>
        <w:rPr>
          <w:rFonts w:hint="default" w:ascii="Times New Roman" w:hAnsi="Times New Roman" w:cs="Times New Roman" w:eastAsiaTheme="minorEastAsia"/>
          <w:color w:val="auto"/>
          <w:sz w:val="22"/>
        </w:rPr>
        <w:t>月</w:t>
      </w:r>
      <w:r>
        <w:rPr>
          <w:rFonts w:hint="eastAsia" w:cs="Times New Roman" w:eastAsiaTheme="minorEastAsia"/>
          <w:color w:val="auto"/>
          <w:sz w:val="22"/>
          <w:u w:val="single"/>
          <w:lang w:val="en-US" w:eastAsia="zh-CN"/>
        </w:rPr>
        <w:t>30</w:t>
      </w:r>
      <w:r>
        <w:rPr>
          <w:rFonts w:hint="default" w:ascii="Times New Roman" w:hAnsi="Times New Roman" w:cs="Times New Roman" w:eastAsiaTheme="minorEastAsia"/>
          <w:color w:val="auto"/>
          <w:sz w:val="22"/>
        </w:rPr>
        <w:t>日-202</w:t>
      </w:r>
      <w:r>
        <w:rPr>
          <w:rFonts w:hint="eastAsia" w:ascii="Times New Roman" w:hAnsi="Times New Roman" w:cs="Times New Roman" w:eastAsiaTheme="minorEastAsia"/>
          <w:color w:val="auto"/>
          <w:sz w:val="22"/>
          <w:lang w:val="en-US" w:eastAsia="zh-CN"/>
        </w:rPr>
        <w:t>5</w:t>
      </w:r>
      <w:r>
        <w:rPr>
          <w:rFonts w:hint="default" w:ascii="Times New Roman" w:hAnsi="Times New Roman" w:cs="Times New Roman" w:eastAsiaTheme="minorEastAsia"/>
          <w:color w:val="auto"/>
          <w:sz w:val="22"/>
        </w:rPr>
        <w:t>年</w:t>
      </w:r>
      <w:r>
        <w:rPr>
          <w:rFonts w:hint="eastAsia" w:cs="Times New Roman" w:eastAsiaTheme="minorEastAsia"/>
          <w:color w:val="auto"/>
          <w:sz w:val="22"/>
          <w:u w:val="single"/>
          <w:lang w:val="en-US" w:eastAsia="zh-CN"/>
        </w:rPr>
        <w:t>6</w:t>
      </w:r>
      <w:r>
        <w:rPr>
          <w:rFonts w:hint="default" w:ascii="Times New Roman" w:hAnsi="Times New Roman" w:cs="Times New Roman" w:eastAsiaTheme="minorEastAsia"/>
          <w:color w:val="auto"/>
          <w:sz w:val="22"/>
        </w:rPr>
        <w:t>月</w:t>
      </w:r>
      <w:r>
        <w:rPr>
          <w:rFonts w:hint="eastAsia" w:cs="Times New Roman" w:eastAsiaTheme="minorEastAsia"/>
          <w:color w:val="auto"/>
          <w:sz w:val="22"/>
          <w:u w:val="single"/>
          <w:lang w:val="en-US" w:eastAsia="zh-CN"/>
        </w:rPr>
        <w:t>30</w:t>
      </w:r>
      <w:bookmarkStart w:id="0" w:name="_GoBack"/>
      <w:bookmarkEnd w:id="0"/>
      <w:r>
        <w:rPr>
          <w:rFonts w:hint="default" w:ascii="Times New Roman" w:hAnsi="Times New Roman" w:cs="Times New Roman" w:eastAsiaTheme="minorEastAsia"/>
          <w:color w:val="auto"/>
          <w:sz w:val="22"/>
        </w:rPr>
        <w:t>日</w:t>
      </w:r>
    </w:p>
    <w:p>
      <w:pPr>
        <w:keepNext w:val="0"/>
        <w:keepLines w:val="0"/>
        <w:pageBreakBefore w:val="0"/>
        <w:kinsoku/>
        <w:overflowPunct/>
        <w:topLinePunct w:val="0"/>
        <w:autoSpaceDE/>
        <w:autoSpaceDN/>
        <w:bidi w:val="0"/>
        <w:snapToGrid w:val="0"/>
        <w:spacing w:after="0" w:line="400" w:lineRule="exact"/>
        <w:ind w:firstLine="440" w:firstLineChars="200"/>
        <w:textAlignment w:val="auto"/>
        <w:rPr>
          <w:rFonts w:hint="default" w:ascii="Times New Roman" w:hAnsi="Times New Roman" w:cs="Times New Roman" w:eastAsiaTheme="minorEastAsia"/>
          <w:i/>
          <w:color w:val="auto"/>
          <w:sz w:val="22"/>
          <w:u w:val="single"/>
        </w:rPr>
      </w:pPr>
      <w:r>
        <w:rPr>
          <w:rFonts w:hint="default" w:ascii="Times New Roman" w:hAnsi="Times New Roman" w:cs="Times New Roman" w:eastAsiaTheme="minorEastAsia"/>
          <w:color w:val="auto"/>
          <w:sz w:val="22"/>
        </w:rPr>
        <w:t>网上拍卖时间：202</w:t>
      </w:r>
      <w:r>
        <w:rPr>
          <w:rFonts w:hint="eastAsia" w:ascii="Times New Roman" w:hAnsi="Times New Roman" w:cs="Times New Roman" w:eastAsiaTheme="minorEastAsia"/>
          <w:color w:val="auto"/>
          <w:sz w:val="22"/>
          <w:lang w:val="en-US" w:eastAsia="zh-CN"/>
        </w:rPr>
        <w:t>5</w:t>
      </w:r>
      <w:r>
        <w:rPr>
          <w:rFonts w:hint="default" w:ascii="Times New Roman" w:hAnsi="Times New Roman" w:cs="Times New Roman" w:eastAsiaTheme="minorEastAsia"/>
          <w:color w:val="auto"/>
          <w:sz w:val="22"/>
        </w:rPr>
        <w:t>年</w:t>
      </w:r>
      <w:r>
        <w:rPr>
          <w:rFonts w:hint="eastAsia" w:cs="Times New Roman" w:eastAsiaTheme="minorEastAsia"/>
          <w:color w:val="auto"/>
          <w:sz w:val="22"/>
          <w:u w:val="single"/>
          <w:lang w:val="en-US" w:eastAsia="zh-CN"/>
        </w:rPr>
        <w:t>6</w:t>
      </w:r>
      <w:r>
        <w:rPr>
          <w:rFonts w:hint="default" w:ascii="Times New Roman" w:hAnsi="Times New Roman" w:cs="Times New Roman" w:eastAsiaTheme="minorEastAsia"/>
          <w:color w:val="auto"/>
          <w:sz w:val="22"/>
        </w:rPr>
        <w:t>月</w:t>
      </w:r>
      <w:r>
        <w:rPr>
          <w:rFonts w:hint="eastAsia" w:cs="Times New Roman" w:eastAsiaTheme="minorEastAsia"/>
          <w:color w:val="auto"/>
          <w:sz w:val="22"/>
          <w:u w:val="single"/>
          <w:lang w:val="en-US" w:eastAsia="zh-CN"/>
        </w:rPr>
        <w:t>30</w:t>
      </w:r>
      <w:r>
        <w:rPr>
          <w:rFonts w:hint="default" w:ascii="Times New Roman" w:hAnsi="Times New Roman" w:cs="Times New Roman" w:eastAsiaTheme="minorEastAsia"/>
          <w:color w:val="auto"/>
          <w:sz w:val="22"/>
        </w:rPr>
        <w:t>日</w:t>
      </w:r>
      <w:r>
        <w:rPr>
          <w:rFonts w:hint="eastAsia" w:cs="Times New Roman" w:eastAsiaTheme="minorEastAsia"/>
          <w:color w:val="auto"/>
          <w:sz w:val="22"/>
          <w:u w:val="single"/>
          <w:lang w:val="en-US" w:eastAsia="zh-CN"/>
        </w:rPr>
        <w:t>15</w:t>
      </w:r>
      <w:r>
        <w:rPr>
          <w:rFonts w:hint="default" w:ascii="Times New Roman" w:hAnsi="Times New Roman" w:cs="Times New Roman" w:eastAsiaTheme="minorEastAsia"/>
          <w:color w:val="auto"/>
          <w:sz w:val="22"/>
        </w:rPr>
        <w:t>时</w:t>
      </w:r>
    </w:p>
    <w:p>
      <w:pPr>
        <w:keepNext w:val="0"/>
        <w:keepLines w:val="0"/>
        <w:pageBreakBefore w:val="0"/>
        <w:kinsoku/>
        <w:overflowPunct/>
        <w:topLinePunct w:val="0"/>
        <w:autoSpaceDE/>
        <w:autoSpaceDN/>
        <w:bidi w:val="0"/>
        <w:snapToGrid w:val="0"/>
        <w:spacing w:after="0" w:line="400" w:lineRule="exact"/>
        <w:ind w:firstLine="440" w:firstLineChars="200"/>
        <w:textAlignment w:val="auto"/>
        <w:rPr>
          <w:rFonts w:hint="default" w:ascii="Times New Roman" w:hAnsi="Times New Roman" w:cs="Times New Roman" w:eastAsiaTheme="minorEastAsia"/>
          <w:color w:val="auto"/>
          <w:sz w:val="22"/>
        </w:rPr>
      </w:pPr>
      <w:r>
        <w:rPr>
          <w:rFonts w:hint="default" w:ascii="Times New Roman" w:hAnsi="Times New Roman" w:cs="Times New Roman" w:eastAsiaTheme="minorEastAsia"/>
          <w:color w:val="auto"/>
          <w:sz w:val="22"/>
        </w:rPr>
        <w:t>地点：重庆市公共资源交易中心（网址：https://td.cqggzy.com/）。</w:t>
      </w:r>
    </w:p>
    <w:p>
      <w:pPr>
        <w:keepNext w:val="0"/>
        <w:keepLines w:val="0"/>
        <w:pageBreakBefore w:val="0"/>
        <w:kinsoku/>
        <w:overflowPunct/>
        <w:topLinePunct w:val="0"/>
        <w:autoSpaceDE/>
        <w:autoSpaceDN/>
        <w:bidi w:val="0"/>
        <w:snapToGrid w:val="0"/>
        <w:spacing w:after="0" w:line="400" w:lineRule="exact"/>
        <w:ind w:firstLine="442" w:firstLineChars="200"/>
        <w:textAlignment w:val="auto"/>
        <w:rPr>
          <w:rFonts w:hint="default" w:ascii="Times New Roman" w:hAnsi="Times New Roman" w:cs="Times New Roman" w:eastAsiaTheme="minorEastAsia"/>
          <w:b/>
          <w:color w:val="auto"/>
          <w:sz w:val="22"/>
        </w:rPr>
      </w:pPr>
      <w:r>
        <w:rPr>
          <w:rFonts w:hint="default" w:ascii="Times New Roman" w:hAnsi="Times New Roman" w:cs="Times New Roman" w:eastAsiaTheme="minorEastAsia"/>
          <w:b/>
          <w:color w:val="auto"/>
          <w:sz w:val="22"/>
        </w:rPr>
        <w:t>六、获取竞买文件的途径和申请报名的起止时间及方式</w:t>
      </w:r>
    </w:p>
    <w:p>
      <w:pPr>
        <w:keepNext w:val="0"/>
        <w:keepLines w:val="0"/>
        <w:pageBreakBefore w:val="0"/>
        <w:kinsoku/>
        <w:overflowPunct/>
        <w:topLinePunct w:val="0"/>
        <w:autoSpaceDE/>
        <w:autoSpaceDN/>
        <w:bidi w:val="0"/>
        <w:snapToGrid w:val="0"/>
        <w:spacing w:after="0" w:line="400" w:lineRule="exact"/>
        <w:ind w:firstLine="440" w:firstLineChars="200"/>
        <w:textAlignment w:val="auto"/>
        <w:rPr>
          <w:rFonts w:hint="default" w:ascii="Times New Roman" w:hAnsi="Times New Roman" w:cs="Times New Roman" w:eastAsiaTheme="minorEastAsia"/>
          <w:i w:val="0"/>
          <w:iCs w:val="0"/>
          <w:color w:val="auto"/>
          <w:sz w:val="22"/>
        </w:rPr>
      </w:pPr>
      <w:r>
        <w:rPr>
          <w:rFonts w:hint="default" w:ascii="Times New Roman" w:hAnsi="Times New Roman" w:cs="Times New Roman" w:eastAsiaTheme="minorEastAsia"/>
          <w:color w:val="auto"/>
          <w:sz w:val="22"/>
        </w:rPr>
        <w:t>（一）</w:t>
      </w:r>
      <w:r>
        <w:rPr>
          <w:rFonts w:hint="default" w:ascii="Times New Roman" w:hAnsi="Times New Roman" w:cs="Times New Roman" w:eastAsiaTheme="minorEastAsia"/>
          <w:b/>
          <w:color w:val="auto"/>
          <w:sz w:val="22"/>
        </w:rPr>
        <w:t>竞买文件获取：</w:t>
      </w:r>
      <w:r>
        <w:rPr>
          <w:rFonts w:hint="default" w:ascii="Times New Roman" w:hAnsi="Times New Roman" w:cs="Times New Roman" w:eastAsiaTheme="minorEastAsia"/>
          <w:color w:val="auto"/>
          <w:sz w:val="22"/>
        </w:rPr>
        <w:t>申请人在报名期限内登录重庆市公共资源交易中心</w:t>
      </w:r>
      <w:r>
        <w:rPr>
          <w:rFonts w:hint="default" w:ascii="Times New Roman" w:hAnsi="Times New Roman" w:cs="Times New Roman" w:eastAsiaTheme="minorEastAsia"/>
          <w:i w:val="0"/>
          <w:iCs w:val="0"/>
          <w:color w:val="auto"/>
          <w:sz w:val="22"/>
        </w:rPr>
        <w:t>网站</w:t>
      </w:r>
      <w:r>
        <w:rPr>
          <w:rFonts w:hint="default" w:ascii="Times New Roman" w:hAnsi="Times New Roman" w:cs="Times New Roman" w:eastAsiaTheme="minorEastAsia"/>
          <w:i w:val="0"/>
          <w:iCs w:val="0"/>
          <w:color w:val="auto"/>
          <w:sz w:val="22"/>
          <w:u w:val="single"/>
        </w:rPr>
        <w:t>（https://www.cqggzy.com/）</w:t>
      </w:r>
      <w:r>
        <w:rPr>
          <w:rFonts w:hint="default" w:ascii="Times New Roman" w:hAnsi="Times New Roman" w:cs="Times New Roman" w:eastAsiaTheme="minorEastAsia"/>
          <w:i w:val="0"/>
          <w:iCs w:val="0"/>
          <w:color w:val="auto"/>
          <w:sz w:val="22"/>
        </w:rPr>
        <w:t>，进入重庆市国有建设用地使用权和矿业权网上交易系统</w:t>
      </w:r>
      <w:r>
        <w:rPr>
          <w:rFonts w:hint="default" w:ascii="Times New Roman" w:hAnsi="Times New Roman" w:cs="Times New Roman" w:eastAsiaTheme="minorEastAsia"/>
          <w:i w:val="0"/>
          <w:iCs w:val="0"/>
          <w:color w:val="auto"/>
          <w:sz w:val="22"/>
          <w:u w:val="single"/>
        </w:rPr>
        <w:t>（网址：https://td.cqggzy.com/）</w:t>
      </w:r>
      <w:r>
        <w:rPr>
          <w:rFonts w:hint="default" w:ascii="Times New Roman" w:hAnsi="Times New Roman" w:cs="Times New Roman" w:eastAsiaTheme="minorEastAsia"/>
          <w:i w:val="0"/>
          <w:iCs w:val="0"/>
          <w:color w:val="auto"/>
          <w:sz w:val="22"/>
        </w:rPr>
        <w:t>，查阅、下载出让资料。</w:t>
      </w:r>
    </w:p>
    <w:p>
      <w:pPr>
        <w:keepNext w:val="0"/>
        <w:keepLines w:val="0"/>
        <w:pageBreakBefore w:val="0"/>
        <w:kinsoku/>
        <w:overflowPunct/>
        <w:topLinePunct w:val="0"/>
        <w:autoSpaceDE/>
        <w:autoSpaceDN/>
        <w:bidi w:val="0"/>
        <w:snapToGrid w:val="0"/>
        <w:spacing w:after="0" w:line="400" w:lineRule="exact"/>
        <w:ind w:firstLine="440" w:firstLineChars="200"/>
        <w:textAlignment w:val="auto"/>
        <w:rPr>
          <w:rFonts w:hint="default" w:ascii="Times New Roman" w:hAnsi="Times New Roman" w:cs="Times New Roman" w:eastAsiaTheme="minorEastAsia"/>
          <w:color w:val="auto"/>
          <w:sz w:val="22"/>
        </w:rPr>
      </w:pPr>
      <w:r>
        <w:rPr>
          <w:rFonts w:hint="default" w:ascii="Times New Roman" w:hAnsi="Times New Roman" w:cs="Times New Roman" w:eastAsiaTheme="minorEastAsia"/>
          <w:color w:val="auto"/>
          <w:sz w:val="22"/>
        </w:rPr>
        <w:t>（二）</w:t>
      </w:r>
      <w:r>
        <w:rPr>
          <w:rFonts w:hint="default" w:ascii="Times New Roman" w:hAnsi="Times New Roman" w:cs="Times New Roman" w:eastAsiaTheme="minorEastAsia"/>
          <w:b/>
          <w:color w:val="auto"/>
          <w:sz w:val="22"/>
        </w:rPr>
        <w:t>网上报名时限：</w:t>
      </w:r>
      <w:r>
        <w:rPr>
          <w:rFonts w:hint="default" w:ascii="Times New Roman" w:hAnsi="Times New Roman" w:cs="Times New Roman" w:eastAsiaTheme="minorEastAsia"/>
          <w:color w:val="auto"/>
          <w:sz w:val="22"/>
        </w:rPr>
        <w:t>202</w:t>
      </w:r>
      <w:r>
        <w:rPr>
          <w:rFonts w:hint="eastAsia" w:ascii="Times New Roman" w:hAnsi="Times New Roman" w:cs="Times New Roman" w:eastAsiaTheme="minorEastAsia"/>
          <w:color w:val="auto"/>
          <w:sz w:val="22"/>
          <w:lang w:val="en-US" w:eastAsia="zh-CN"/>
        </w:rPr>
        <w:t>5</w:t>
      </w:r>
      <w:r>
        <w:rPr>
          <w:rFonts w:hint="default" w:ascii="Times New Roman" w:hAnsi="Times New Roman" w:cs="Times New Roman" w:eastAsiaTheme="minorEastAsia"/>
          <w:color w:val="auto"/>
          <w:sz w:val="22"/>
        </w:rPr>
        <w:t>年</w:t>
      </w:r>
      <w:r>
        <w:rPr>
          <w:rFonts w:hint="eastAsia" w:cs="Times New Roman" w:eastAsiaTheme="minorEastAsia"/>
          <w:color w:val="auto"/>
          <w:sz w:val="22"/>
          <w:u w:val="single"/>
          <w:lang w:val="en-US" w:eastAsia="zh-CN"/>
        </w:rPr>
        <w:t>5</w:t>
      </w:r>
      <w:r>
        <w:rPr>
          <w:rFonts w:hint="default" w:ascii="Times New Roman" w:hAnsi="Times New Roman" w:cs="Times New Roman" w:eastAsiaTheme="minorEastAsia"/>
          <w:color w:val="auto"/>
          <w:sz w:val="22"/>
        </w:rPr>
        <w:t>月</w:t>
      </w:r>
      <w:r>
        <w:rPr>
          <w:rFonts w:hint="eastAsia" w:cs="Times New Roman" w:eastAsiaTheme="minorEastAsia"/>
          <w:color w:val="auto"/>
          <w:sz w:val="22"/>
          <w:u w:val="single"/>
          <w:lang w:val="en-US" w:eastAsia="zh-CN"/>
        </w:rPr>
        <w:t>30</w:t>
      </w:r>
      <w:r>
        <w:rPr>
          <w:rFonts w:hint="default" w:ascii="Times New Roman" w:hAnsi="Times New Roman" w:cs="Times New Roman" w:eastAsiaTheme="minorEastAsia"/>
          <w:color w:val="auto"/>
          <w:sz w:val="22"/>
        </w:rPr>
        <w:t>日</w:t>
      </w:r>
      <w:r>
        <w:rPr>
          <w:rFonts w:hint="eastAsia" w:cs="Times New Roman" w:eastAsiaTheme="minorEastAsia"/>
          <w:color w:val="auto"/>
          <w:sz w:val="22"/>
          <w:u w:val="single"/>
          <w:lang w:val="en-US" w:eastAsia="zh-CN"/>
        </w:rPr>
        <w:t>12</w:t>
      </w:r>
      <w:r>
        <w:rPr>
          <w:rFonts w:hint="default" w:ascii="Times New Roman" w:hAnsi="Times New Roman" w:cs="Times New Roman" w:eastAsiaTheme="minorEastAsia"/>
          <w:color w:val="auto"/>
          <w:sz w:val="22"/>
        </w:rPr>
        <w:t>时-202</w:t>
      </w:r>
      <w:r>
        <w:rPr>
          <w:rFonts w:hint="eastAsia" w:ascii="Times New Roman" w:hAnsi="Times New Roman" w:cs="Times New Roman" w:eastAsiaTheme="minorEastAsia"/>
          <w:color w:val="auto"/>
          <w:sz w:val="22"/>
          <w:lang w:val="en-US" w:eastAsia="zh-CN"/>
        </w:rPr>
        <w:t>5</w:t>
      </w:r>
      <w:r>
        <w:rPr>
          <w:rFonts w:hint="default" w:ascii="Times New Roman" w:hAnsi="Times New Roman" w:cs="Times New Roman" w:eastAsiaTheme="minorEastAsia"/>
          <w:color w:val="auto"/>
          <w:sz w:val="22"/>
        </w:rPr>
        <w:t>年</w:t>
      </w:r>
      <w:r>
        <w:rPr>
          <w:rFonts w:hint="eastAsia" w:cs="Times New Roman" w:eastAsiaTheme="minorEastAsia"/>
          <w:color w:val="auto"/>
          <w:sz w:val="22"/>
          <w:u w:val="single"/>
          <w:lang w:val="en-US" w:eastAsia="zh-CN"/>
        </w:rPr>
        <w:t>6</w:t>
      </w:r>
      <w:r>
        <w:rPr>
          <w:rFonts w:hint="default" w:ascii="Times New Roman" w:hAnsi="Times New Roman" w:cs="Times New Roman" w:eastAsiaTheme="minorEastAsia"/>
          <w:color w:val="auto"/>
          <w:sz w:val="22"/>
        </w:rPr>
        <w:t>月</w:t>
      </w:r>
      <w:r>
        <w:rPr>
          <w:rFonts w:hint="eastAsia" w:cs="Times New Roman" w:eastAsiaTheme="minorEastAsia"/>
          <w:color w:val="auto"/>
          <w:sz w:val="22"/>
          <w:u w:val="single"/>
          <w:lang w:val="en-US" w:eastAsia="zh-CN"/>
        </w:rPr>
        <w:t>30</w:t>
      </w:r>
      <w:r>
        <w:rPr>
          <w:rFonts w:hint="default" w:ascii="Times New Roman" w:hAnsi="Times New Roman" w:cs="Times New Roman" w:eastAsiaTheme="minorEastAsia"/>
          <w:color w:val="auto"/>
          <w:sz w:val="22"/>
        </w:rPr>
        <w:t>日</w:t>
      </w:r>
      <w:r>
        <w:rPr>
          <w:rFonts w:hint="eastAsia" w:cs="Times New Roman" w:eastAsiaTheme="minorEastAsia"/>
          <w:color w:val="auto"/>
          <w:sz w:val="22"/>
          <w:u w:val="single"/>
          <w:lang w:val="en-US" w:eastAsia="zh-CN"/>
        </w:rPr>
        <w:t>12</w:t>
      </w:r>
      <w:r>
        <w:rPr>
          <w:rFonts w:hint="default" w:ascii="Times New Roman" w:hAnsi="Times New Roman" w:cs="Times New Roman" w:eastAsiaTheme="minorEastAsia"/>
          <w:color w:val="auto"/>
          <w:sz w:val="22"/>
        </w:rPr>
        <w:t>时</w:t>
      </w:r>
    </w:p>
    <w:p>
      <w:pPr>
        <w:keepNext w:val="0"/>
        <w:keepLines w:val="0"/>
        <w:pageBreakBefore w:val="0"/>
        <w:kinsoku/>
        <w:overflowPunct/>
        <w:topLinePunct w:val="0"/>
        <w:autoSpaceDE/>
        <w:autoSpaceDN/>
        <w:bidi w:val="0"/>
        <w:snapToGrid w:val="0"/>
        <w:spacing w:after="0" w:line="400" w:lineRule="exact"/>
        <w:ind w:firstLine="440" w:firstLineChars="200"/>
        <w:textAlignment w:val="auto"/>
        <w:rPr>
          <w:rFonts w:hint="default" w:ascii="Times New Roman" w:hAnsi="Times New Roman" w:cs="Times New Roman" w:eastAsiaTheme="minorEastAsia"/>
          <w:color w:val="auto"/>
          <w:sz w:val="22"/>
        </w:rPr>
      </w:pPr>
      <w:r>
        <w:rPr>
          <w:rFonts w:hint="default" w:ascii="Times New Roman" w:hAnsi="Times New Roman" w:cs="Times New Roman" w:eastAsiaTheme="minorEastAsia"/>
          <w:color w:val="auto"/>
          <w:sz w:val="22"/>
        </w:rPr>
        <w:t>（三）</w:t>
      </w:r>
      <w:r>
        <w:rPr>
          <w:rFonts w:hint="default" w:ascii="Times New Roman" w:hAnsi="Times New Roman" w:cs="Times New Roman" w:eastAsiaTheme="minorEastAsia"/>
          <w:b/>
          <w:bCs/>
          <w:color w:val="auto"/>
          <w:sz w:val="22"/>
        </w:rPr>
        <w:t>网上报名方式和程序</w:t>
      </w:r>
      <w:r>
        <w:rPr>
          <w:rFonts w:hint="default" w:ascii="Times New Roman" w:hAnsi="Times New Roman" w:cs="Times New Roman" w:eastAsiaTheme="minorEastAsia"/>
          <w:color w:val="auto"/>
          <w:sz w:val="22"/>
        </w:rPr>
        <w:t>：本次公开出让的采矿权采取网上报名方式：申请人应于报名期限内登录重庆市国有建设用地使用权和矿业权网上交易系统，按规定提交竞买申请，在报名期限内足额交纳竞买保证金，提交报名资料电子档。</w:t>
      </w:r>
    </w:p>
    <w:p>
      <w:pPr>
        <w:keepNext w:val="0"/>
        <w:keepLines w:val="0"/>
        <w:pageBreakBefore w:val="0"/>
        <w:kinsoku/>
        <w:overflowPunct/>
        <w:topLinePunct w:val="0"/>
        <w:autoSpaceDE/>
        <w:autoSpaceDN/>
        <w:bidi w:val="0"/>
        <w:snapToGrid w:val="0"/>
        <w:spacing w:after="0" w:line="400" w:lineRule="exact"/>
        <w:ind w:firstLine="440" w:firstLineChars="200"/>
        <w:textAlignment w:val="auto"/>
        <w:rPr>
          <w:rFonts w:hint="default" w:ascii="Times New Roman" w:hAnsi="Times New Roman" w:cs="Times New Roman" w:eastAsiaTheme="minorEastAsia"/>
          <w:color w:val="auto"/>
          <w:sz w:val="22"/>
        </w:rPr>
      </w:pPr>
      <w:r>
        <w:rPr>
          <w:rFonts w:hint="default" w:ascii="Times New Roman" w:hAnsi="Times New Roman" w:cs="Times New Roman" w:eastAsiaTheme="minorEastAsia"/>
          <w:color w:val="auto"/>
          <w:sz w:val="22"/>
        </w:rPr>
        <w:t>（四）保证金的交纳详见《出让文件》。</w:t>
      </w:r>
    </w:p>
    <w:p>
      <w:pPr>
        <w:keepNext w:val="0"/>
        <w:keepLines w:val="0"/>
        <w:pageBreakBefore w:val="0"/>
        <w:kinsoku/>
        <w:overflowPunct/>
        <w:topLinePunct w:val="0"/>
        <w:autoSpaceDE/>
        <w:autoSpaceDN/>
        <w:bidi w:val="0"/>
        <w:snapToGrid w:val="0"/>
        <w:spacing w:after="0" w:line="400" w:lineRule="exact"/>
        <w:ind w:firstLine="442" w:firstLineChars="200"/>
        <w:textAlignment w:val="auto"/>
        <w:rPr>
          <w:rFonts w:hint="default" w:ascii="Times New Roman" w:hAnsi="Times New Roman" w:cs="Times New Roman" w:eastAsiaTheme="minorEastAsia"/>
          <w:b/>
          <w:color w:val="auto"/>
          <w:sz w:val="22"/>
        </w:rPr>
      </w:pPr>
      <w:r>
        <w:rPr>
          <w:rFonts w:hint="default" w:ascii="Times New Roman" w:hAnsi="Times New Roman" w:cs="Times New Roman" w:eastAsiaTheme="minorEastAsia"/>
          <w:b/>
          <w:color w:val="auto"/>
          <w:sz w:val="22"/>
        </w:rPr>
        <w:t>七、确定竞得人的标准和方法</w:t>
      </w:r>
    </w:p>
    <w:p>
      <w:pPr>
        <w:keepNext w:val="0"/>
        <w:keepLines w:val="0"/>
        <w:pageBreakBefore w:val="0"/>
        <w:kinsoku/>
        <w:overflowPunct/>
        <w:topLinePunct w:val="0"/>
        <w:autoSpaceDE/>
        <w:autoSpaceDN/>
        <w:bidi w:val="0"/>
        <w:snapToGrid w:val="0"/>
        <w:spacing w:after="0" w:line="400" w:lineRule="exact"/>
        <w:ind w:firstLine="440" w:firstLineChars="200"/>
        <w:textAlignment w:val="auto"/>
        <w:rPr>
          <w:rFonts w:hint="default" w:ascii="Times New Roman" w:hAnsi="Times New Roman" w:cs="Times New Roman" w:eastAsiaTheme="minorEastAsia"/>
          <w:color w:val="auto"/>
          <w:sz w:val="22"/>
        </w:rPr>
      </w:pPr>
      <w:r>
        <w:rPr>
          <w:rFonts w:hint="default" w:ascii="Times New Roman" w:hAnsi="Times New Roman" w:cs="Times New Roman" w:eastAsiaTheme="minorEastAsia"/>
          <w:color w:val="auto"/>
          <w:sz w:val="22"/>
        </w:rPr>
        <w:t>本次</w:t>
      </w:r>
      <w:r>
        <w:rPr>
          <w:rFonts w:hint="default" w:ascii="Times New Roman" w:hAnsi="Times New Roman" w:cs="Times New Roman" w:eastAsiaTheme="minorEastAsia"/>
          <w:color w:val="auto"/>
          <w:sz w:val="22"/>
          <w:lang w:val="en-US" w:eastAsia="zh-CN"/>
        </w:rPr>
        <w:t>网上</w:t>
      </w:r>
      <w:r>
        <w:rPr>
          <w:rFonts w:hint="default" w:ascii="Times New Roman" w:hAnsi="Times New Roman" w:cs="Times New Roman" w:eastAsiaTheme="minorEastAsia"/>
          <w:color w:val="auto"/>
          <w:sz w:val="22"/>
        </w:rPr>
        <w:t>拍卖出让</w:t>
      </w:r>
      <w:r>
        <w:rPr>
          <w:rFonts w:hint="default" w:ascii="Times New Roman" w:hAnsi="Times New Roman" w:cs="Times New Roman" w:eastAsiaTheme="minorEastAsia"/>
          <w:color w:val="auto"/>
          <w:sz w:val="22"/>
          <w:u w:val="single"/>
        </w:rPr>
        <w:t>设置有底价</w:t>
      </w:r>
      <w:r>
        <w:rPr>
          <w:rFonts w:hint="default" w:ascii="Times New Roman" w:hAnsi="Times New Roman" w:cs="Times New Roman" w:eastAsiaTheme="minorEastAsia"/>
          <w:color w:val="auto"/>
          <w:sz w:val="22"/>
        </w:rPr>
        <w:t>，采用网上增价报价的方式，起拍价为出让收益起始价，增加幅度为0.1万元或0.1万元的整数倍，按照不低于底价的最高报价者得原则确定竞得人。拍卖成交后的竞得人按规定即时签订《成交确认书》，成交结果在相关网站公示10个工作日。</w:t>
      </w:r>
    </w:p>
    <w:p>
      <w:pPr>
        <w:keepNext w:val="0"/>
        <w:keepLines w:val="0"/>
        <w:pageBreakBefore w:val="0"/>
        <w:kinsoku/>
        <w:overflowPunct/>
        <w:topLinePunct w:val="0"/>
        <w:autoSpaceDE/>
        <w:autoSpaceDN/>
        <w:bidi w:val="0"/>
        <w:snapToGrid w:val="0"/>
        <w:spacing w:after="0" w:line="400" w:lineRule="exact"/>
        <w:ind w:firstLine="442" w:firstLineChars="200"/>
        <w:textAlignment w:val="auto"/>
        <w:rPr>
          <w:rFonts w:hint="default" w:ascii="Times New Roman" w:hAnsi="Times New Roman" w:cs="Times New Roman" w:eastAsiaTheme="minorEastAsia"/>
          <w:b/>
          <w:color w:val="auto"/>
          <w:sz w:val="22"/>
        </w:rPr>
      </w:pPr>
      <w:r>
        <w:rPr>
          <w:rFonts w:hint="default" w:ascii="Times New Roman" w:hAnsi="Times New Roman" w:cs="Times New Roman" w:eastAsiaTheme="minorEastAsia"/>
          <w:b/>
          <w:color w:val="auto"/>
          <w:sz w:val="22"/>
        </w:rPr>
        <w:t>八、风险提示</w:t>
      </w:r>
    </w:p>
    <w:p>
      <w:pPr>
        <w:keepNext w:val="0"/>
        <w:keepLines w:val="0"/>
        <w:pageBreakBefore w:val="0"/>
        <w:kinsoku/>
        <w:overflowPunct/>
        <w:topLinePunct w:val="0"/>
        <w:autoSpaceDE/>
        <w:autoSpaceDN/>
        <w:bidi w:val="0"/>
        <w:snapToGrid w:val="0"/>
        <w:spacing w:after="0" w:line="400" w:lineRule="exact"/>
        <w:ind w:firstLine="440" w:firstLineChars="200"/>
        <w:textAlignment w:val="auto"/>
        <w:rPr>
          <w:rFonts w:hint="default" w:ascii="Times New Roman" w:hAnsi="Times New Roman" w:cs="Times New Roman" w:eastAsiaTheme="minorEastAsia"/>
          <w:color w:val="auto"/>
          <w:sz w:val="22"/>
        </w:rPr>
      </w:pPr>
      <w:r>
        <w:rPr>
          <w:rFonts w:hint="default" w:ascii="Times New Roman" w:hAnsi="Times New Roman" w:cs="Times New Roman" w:eastAsiaTheme="minorEastAsia"/>
          <w:color w:val="auto"/>
          <w:kern w:val="0"/>
          <w:sz w:val="22"/>
        </w:rPr>
        <w:t>（一）采矿权投资存在有不可预计的风险，包括出让文件所表述的有关矿产资源情况（矿层厚度、矿石质量、储量等）与实际开采有差距的风险，包括但不限于安全、地质灾害防治、环境保护等要求、对特定采矿方法、选矿方法限制以及国家产业政策或者矿产资源规划调整的影响、不可抗力的影响等风险。竞买申请人参加竞买并提交申请，即视为竞买申请人对</w:t>
      </w:r>
      <w:r>
        <w:rPr>
          <w:rFonts w:hint="eastAsia" w:cs="Times New Roman" w:eastAsiaTheme="minorEastAsia"/>
          <w:color w:val="auto"/>
          <w:kern w:val="0"/>
          <w:sz w:val="22"/>
          <w:lang w:val="en-US" w:eastAsia="zh-CN"/>
        </w:rPr>
        <w:t>拟出让</w:t>
      </w:r>
      <w:r>
        <w:rPr>
          <w:rFonts w:hint="default" w:ascii="Times New Roman" w:hAnsi="Times New Roman" w:cs="Times New Roman" w:eastAsiaTheme="minorEastAsia"/>
          <w:color w:val="auto"/>
          <w:kern w:val="0"/>
          <w:sz w:val="22"/>
        </w:rPr>
        <w:t>采矿权现状和出让文件已完全认可并自愿承担所有风险。</w:t>
      </w:r>
    </w:p>
    <w:p>
      <w:pPr>
        <w:keepNext w:val="0"/>
        <w:keepLines w:val="0"/>
        <w:pageBreakBefore w:val="0"/>
        <w:kinsoku/>
        <w:overflowPunct/>
        <w:topLinePunct w:val="0"/>
        <w:autoSpaceDE/>
        <w:autoSpaceDN/>
        <w:bidi w:val="0"/>
        <w:snapToGrid w:val="0"/>
        <w:spacing w:after="0" w:line="400" w:lineRule="exact"/>
        <w:ind w:firstLine="440" w:firstLineChars="200"/>
        <w:textAlignment w:val="auto"/>
        <w:rPr>
          <w:rFonts w:hint="default" w:ascii="Times New Roman" w:hAnsi="Times New Roman" w:cs="Times New Roman" w:eastAsiaTheme="minorEastAsia"/>
          <w:color w:val="auto"/>
          <w:sz w:val="22"/>
        </w:rPr>
      </w:pPr>
      <w:r>
        <w:rPr>
          <w:rFonts w:hint="default" w:ascii="Times New Roman" w:hAnsi="Times New Roman" w:cs="Times New Roman" w:eastAsiaTheme="minorEastAsia"/>
          <w:color w:val="auto"/>
          <w:kern w:val="0"/>
          <w:sz w:val="22"/>
        </w:rPr>
        <w:t>（二）</w:t>
      </w:r>
      <w:r>
        <w:rPr>
          <w:rFonts w:hint="default" w:ascii="Times New Roman" w:hAnsi="Times New Roman" w:cs="Times New Roman" w:eastAsiaTheme="minorEastAsia"/>
          <w:color w:val="auto"/>
          <w:kern w:val="0"/>
          <w:sz w:val="22"/>
          <w:szCs w:val="22"/>
          <w:u w:val="none"/>
          <w:lang w:val="en-US" w:eastAsia="zh-CN"/>
        </w:rPr>
        <w:t>本地热</w:t>
      </w:r>
      <w:r>
        <w:rPr>
          <w:rFonts w:hint="default" w:ascii="Times New Roman" w:hAnsi="Times New Roman" w:cs="Times New Roman" w:eastAsiaTheme="minorEastAsia"/>
          <w:color w:val="auto"/>
          <w:kern w:val="0"/>
          <w:sz w:val="22"/>
          <w:szCs w:val="22"/>
          <w:u w:val="none"/>
        </w:rPr>
        <w:t>为新设矿山</w:t>
      </w:r>
      <w:r>
        <w:rPr>
          <w:rFonts w:hint="default" w:ascii="Times New Roman" w:hAnsi="Times New Roman" w:cs="Times New Roman" w:eastAsiaTheme="minorEastAsia"/>
          <w:color w:val="auto"/>
          <w:kern w:val="0"/>
          <w:sz w:val="22"/>
          <w:szCs w:val="22"/>
          <w:u w:val="none"/>
          <w:lang w:eastAsia="zh-CN"/>
        </w:rPr>
        <w:t>，出让的采矿权不包括土地使用权及其他物权，</w:t>
      </w:r>
      <w:r>
        <w:rPr>
          <w:rFonts w:hint="default" w:ascii="Times New Roman" w:hAnsi="Times New Roman" w:cs="Times New Roman" w:eastAsiaTheme="minorEastAsia"/>
          <w:color w:val="auto"/>
          <w:kern w:val="0"/>
          <w:sz w:val="22"/>
          <w:szCs w:val="22"/>
          <w:u w:val="none"/>
          <w:lang w:val="en-US" w:eastAsia="zh-CN"/>
        </w:rPr>
        <w:t>其开采</w:t>
      </w:r>
      <w:r>
        <w:rPr>
          <w:rFonts w:hint="default" w:ascii="Times New Roman" w:hAnsi="Times New Roman" w:cs="Times New Roman" w:eastAsiaTheme="minorEastAsia"/>
          <w:color w:val="auto"/>
          <w:kern w:val="0"/>
          <w:sz w:val="22"/>
          <w:szCs w:val="22"/>
          <w:u w:val="none"/>
        </w:rPr>
        <w:t>井口位于巴南区东温泉镇</w:t>
      </w:r>
      <w:r>
        <w:rPr>
          <w:rFonts w:hint="default" w:ascii="Times New Roman" w:hAnsi="Times New Roman" w:cs="Times New Roman" w:eastAsiaTheme="minorEastAsia"/>
          <w:color w:val="auto"/>
          <w:kern w:val="0"/>
          <w:sz w:val="22"/>
          <w:szCs w:val="22"/>
          <w:u w:val="none"/>
          <w:lang w:val="en-US" w:eastAsia="zh-CN"/>
        </w:rPr>
        <w:t>佛灵街3</w:t>
      </w:r>
      <w:r>
        <w:rPr>
          <w:rFonts w:hint="default" w:ascii="Times New Roman" w:hAnsi="Times New Roman" w:cs="Times New Roman" w:eastAsiaTheme="minorEastAsia"/>
          <w:color w:val="auto"/>
          <w:kern w:val="0"/>
          <w:sz w:val="22"/>
          <w:szCs w:val="22"/>
          <w:u w:val="none"/>
        </w:rPr>
        <w:t>号的存量国有建设用地宗地范围内，开采井口、生产生活及办公区、进场道路等其他设施用地采取</w:t>
      </w:r>
      <w:r>
        <w:rPr>
          <w:rFonts w:hint="default" w:ascii="Times New Roman" w:hAnsi="Times New Roman" w:cs="Times New Roman" w:eastAsiaTheme="minorEastAsia"/>
          <w:color w:val="auto"/>
          <w:kern w:val="0"/>
          <w:sz w:val="22"/>
          <w:szCs w:val="22"/>
          <w:u w:val="none"/>
          <w:lang w:val="en-US" w:eastAsia="zh-CN"/>
        </w:rPr>
        <w:t>整体</w:t>
      </w:r>
      <w:r>
        <w:rPr>
          <w:rFonts w:hint="default" w:ascii="Times New Roman" w:hAnsi="Times New Roman" w:cs="Times New Roman" w:eastAsiaTheme="minorEastAsia"/>
          <w:color w:val="auto"/>
          <w:kern w:val="0"/>
          <w:sz w:val="22"/>
          <w:szCs w:val="22"/>
          <w:u w:val="none"/>
        </w:rPr>
        <w:t>租赁方式保障</w:t>
      </w:r>
      <w:r>
        <w:rPr>
          <w:rFonts w:hint="default" w:ascii="Times New Roman" w:hAnsi="Times New Roman" w:cs="Times New Roman" w:eastAsiaTheme="minorEastAsia"/>
          <w:color w:val="auto"/>
          <w:kern w:val="0"/>
          <w:sz w:val="22"/>
          <w:szCs w:val="22"/>
          <w:u w:val="none"/>
          <w:lang w:eastAsia="zh-CN"/>
        </w:rPr>
        <w:t>。</w:t>
      </w:r>
      <w:r>
        <w:rPr>
          <w:rFonts w:hint="default" w:ascii="Times New Roman" w:hAnsi="Times New Roman" w:cs="Times New Roman" w:eastAsiaTheme="minorEastAsia"/>
          <w:color w:val="auto"/>
          <w:kern w:val="0"/>
          <w:sz w:val="22"/>
        </w:rPr>
        <w:t>有关该宗采矿权的用水、用电、公路、环保、基础设施等工作，由竞得人自行负责解决并依法完善相关手续。</w:t>
      </w:r>
    </w:p>
    <w:p>
      <w:pPr>
        <w:keepNext w:val="0"/>
        <w:keepLines w:val="0"/>
        <w:pageBreakBefore w:val="0"/>
        <w:kinsoku/>
        <w:overflowPunct/>
        <w:topLinePunct w:val="0"/>
        <w:autoSpaceDE/>
        <w:autoSpaceDN/>
        <w:bidi w:val="0"/>
        <w:snapToGrid w:val="0"/>
        <w:spacing w:after="0" w:line="400" w:lineRule="exact"/>
        <w:ind w:firstLine="440" w:firstLineChars="200"/>
        <w:textAlignment w:val="auto"/>
        <w:rPr>
          <w:rFonts w:hint="default" w:ascii="Times New Roman" w:hAnsi="Times New Roman" w:cs="Times New Roman" w:eastAsiaTheme="minorEastAsia"/>
          <w:color w:val="auto"/>
          <w:kern w:val="0"/>
          <w:sz w:val="22"/>
        </w:rPr>
      </w:pPr>
      <w:r>
        <w:rPr>
          <w:rFonts w:hint="default" w:ascii="Times New Roman" w:hAnsi="Times New Roman" w:cs="Times New Roman" w:eastAsiaTheme="minorEastAsia"/>
          <w:color w:val="auto"/>
          <w:kern w:val="0"/>
          <w:sz w:val="22"/>
        </w:rPr>
        <w:t>（三）若竞得人竞得该宗采矿权后，在办理采矿登记前进行安全、环境评价等认定为不适宜开采的，该宗采矿权按不成交处理。</w:t>
      </w:r>
    </w:p>
    <w:p>
      <w:pPr>
        <w:keepNext w:val="0"/>
        <w:keepLines w:val="0"/>
        <w:pageBreakBefore w:val="0"/>
        <w:kinsoku/>
        <w:overflowPunct/>
        <w:topLinePunct w:val="0"/>
        <w:autoSpaceDE/>
        <w:autoSpaceDN/>
        <w:bidi w:val="0"/>
        <w:snapToGrid w:val="0"/>
        <w:spacing w:after="0" w:line="400" w:lineRule="exact"/>
        <w:ind w:firstLine="442" w:firstLineChars="200"/>
        <w:textAlignment w:val="auto"/>
        <w:rPr>
          <w:rFonts w:hint="default" w:ascii="Times New Roman" w:hAnsi="Times New Roman" w:cs="Times New Roman" w:eastAsiaTheme="minorEastAsia"/>
          <w:b/>
          <w:color w:val="auto"/>
          <w:sz w:val="22"/>
        </w:rPr>
      </w:pPr>
      <w:r>
        <w:rPr>
          <w:rFonts w:hint="default" w:ascii="Times New Roman" w:hAnsi="Times New Roman" w:cs="Times New Roman" w:eastAsiaTheme="minorEastAsia"/>
          <w:b/>
          <w:color w:val="auto"/>
          <w:sz w:val="22"/>
        </w:rPr>
        <w:t>九、对交易矿业权异议的处理方式</w:t>
      </w:r>
    </w:p>
    <w:p>
      <w:pPr>
        <w:keepNext w:val="0"/>
        <w:keepLines w:val="0"/>
        <w:pageBreakBefore w:val="0"/>
        <w:widowControl w:val="0"/>
        <w:kinsoku/>
        <w:overflowPunct/>
        <w:topLinePunct w:val="0"/>
        <w:autoSpaceDE/>
        <w:autoSpaceDN/>
        <w:bidi w:val="0"/>
        <w:adjustRightInd/>
        <w:snapToGrid w:val="0"/>
        <w:spacing w:after="0" w:line="400" w:lineRule="exact"/>
        <w:ind w:firstLine="440" w:firstLineChars="200"/>
        <w:textAlignment w:val="auto"/>
        <w:rPr>
          <w:rFonts w:hint="default" w:ascii="Times New Roman" w:hAnsi="Times New Roman" w:cs="Times New Roman" w:eastAsiaTheme="minorEastAsia"/>
          <w:color w:val="auto"/>
          <w:sz w:val="22"/>
          <w:szCs w:val="22"/>
          <w:highlight w:val="none"/>
        </w:rPr>
      </w:pPr>
      <w:r>
        <w:rPr>
          <w:rFonts w:hint="default" w:ascii="Times New Roman" w:hAnsi="Times New Roman" w:cs="Times New Roman" w:eastAsiaTheme="minorEastAsia"/>
          <w:color w:val="auto"/>
          <w:sz w:val="22"/>
          <w:highlight w:val="none"/>
        </w:rPr>
        <w:t>对本次出让的采矿权存有异议的，应在</w:t>
      </w:r>
      <w:r>
        <w:rPr>
          <w:rFonts w:hint="eastAsia" w:cs="Times New Roman" w:eastAsiaTheme="minorEastAsia"/>
          <w:color w:val="auto"/>
          <w:sz w:val="22"/>
          <w:highlight w:val="none"/>
          <w:lang w:val="en-US" w:eastAsia="zh-CN"/>
        </w:rPr>
        <w:t>采矿权出让</w:t>
      </w:r>
      <w:r>
        <w:rPr>
          <w:rFonts w:hint="default" w:ascii="Times New Roman" w:hAnsi="Times New Roman" w:cs="Times New Roman" w:eastAsiaTheme="minorEastAsia"/>
          <w:color w:val="auto"/>
          <w:sz w:val="22"/>
          <w:highlight w:val="none"/>
        </w:rPr>
        <w:t>公告期截止前以书面方</w:t>
      </w:r>
      <w:r>
        <w:rPr>
          <w:rFonts w:hint="default" w:ascii="Times New Roman" w:hAnsi="Times New Roman" w:cs="Times New Roman" w:eastAsiaTheme="minorEastAsia"/>
          <w:color w:val="auto"/>
          <w:sz w:val="22"/>
          <w:highlight w:val="none"/>
          <w:u w:val="none"/>
        </w:rPr>
        <w:t>式向</w:t>
      </w:r>
      <w:r>
        <w:rPr>
          <w:rFonts w:hint="default" w:ascii="Times New Roman" w:hAnsi="Times New Roman" w:cs="Times New Roman" w:eastAsiaTheme="minorEastAsia"/>
          <w:i w:val="0"/>
          <w:iCs/>
          <w:color w:val="auto"/>
          <w:sz w:val="22"/>
          <w:szCs w:val="22"/>
          <w:highlight w:val="none"/>
          <w:u w:val="single"/>
          <w:lang w:eastAsia="zh-CN"/>
        </w:rPr>
        <w:t>重庆市巴南区规划和自然资源</w:t>
      </w:r>
      <w:r>
        <w:rPr>
          <w:rFonts w:hint="default" w:ascii="Times New Roman" w:hAnsi="Times New Roman" w:cs="Times New Roman" w:eastAsiaTheme="minorEastAsia"/>
          <w:i w:val="0"/>
          <w:iCs/>
          <w:color w:val="auto"/>
          <w:sz w:val="22"/>
          <w:szCs w:val="22"/>
          <w:highlight w:val="none"/>
          <w:u w:val="none"/>
          <w:lang w:eastAsia="zh-CN"/>
        </w:rPr>
        <w:t>局</w:t>
      </w:r>
      <w:r>
        <w:rPr>
          <w:rFonts w:hint="default" w:ascii="Times New Roman" w:hAnsi="Times New Roman" w:cs="Times New Roman" w:eastAsiaTheme="minorEastAsia"/>
          <w:color w:val="auto"/>
          <w:sz w:val="22"/>
          <w:szCs w:val="22"/>
          <w:highlight w:val="none"/>
          <w:u w:val="none"/>
        </w:rPr>
        <w:t>提出</w:t>
      </w:r>
      <w:r>
        <w:rPr>
          <w:rFonts w:hint="default" w:ascii="Times New Roman" w:hAnsi="Times New Roman" w:cs="Times New Roman" w:eastAsiaTheme="minorEastAsia"/>
          <w:color w:val="auto"/>
          <w:kern w:val="0"/>
          <w:sz w:val="22"/>
          <w:highlight w:val="none"/>
          <w:u w:val="none"/>
        </w:rPr>
        <w:t>（</w:t>
      </w:r>
      <w:r>
        <w:rPr>
          <w:rFonts w:hint="default" w:ascii="Times New Roman" w:hAnsi="Times New Roman" w:cs="Times New Roman" w:eastAsiaTheme="minorEastAsia"/>
          <w:color w:val="auto"/>
          <w:sz w:val="22"/>
          <w:highlight w:val="none"/>
          <w:u w:val="single"/>
        </w:rPr>
        <w:t>联系人：</w:t>
      </w:r>
      <w:r>
        <w:rPr>
          <w:rFonts w:hint="default" w:ascii="Times New Roman" w:hAnsi="Times New Roman" w:cs="Times New Roman" w:eastAsiaTheme="minorEastAsia"/>
          <w:color w:val="auto"/>
          <w:sz w:val="22"/>
          <w:highlight w:val="none"/>
          <w:u w:val="single"/>
          <w:lang w:val="en-US" w:eastAsia="zh-CN"/>
        </w:rPr>
        <w:t>陈老师</w:t>
      </w:r>
      <w:r>
        <w:rPr>
          <w:rFonts w:hint="default" w:ascii="Times New Roman" w:hAnsi="Times New Roman" w:cs="Times New Roman" w:eastAsiaTheme="minorEastAsia"/>
          <w:color w:val="auto"/>
          <w:sz w:val="22"/>
          <w:highlight w:val="none"/>
          <w:u w:val="single"/>
        </w:rPr>
        <w:t>，联系电话：</w:t>
      </w:r>
      <w:r>
        <w:rPr>
          <w:rFonts w:hint="default" w:ascii="Times New Roman" w:hAnsi="Times New Roman" w:cs="Times New Roman" w:eastAsiaTheme="minorEastAsia"/>
          <w:color w:val="auto"/>
          <w:sz w:val="22"/>
          <w:highlight w:val="none"/>
          <w:u w:val="single"/>
          <w:lang w:val="en-US" w:eastAsia="zh-CN"/>
        </w:rPr>
        <w:t>023-66221704</w:t>
      </w:r>
      <w:r>
        <w:rPr>
          <w:rFonts w:hint="default" w:ascii="Times New Roman" w:hAnsi="Times New Roman" w:cs="Times New Roman" w:eastAsiaTheme="minorEastAsia"/>
          <w:color w:val="auto"/>
          <w:kern w:val="0"/>
          <w:sz w:val="22"/>
          <w:highlight w:val="none"/>
          <w:u w:val="none"/>
        </w:rPr>
        <w:t>）</w:t>
      </w:r>
      <w:r>
        <w:rPr>
          <w:rFonts w:hint="default" w:ascii="Times New Roman" w:hAnsi="Times New Roman" w:cs="Times New Roman" w:eastAsiaTheme="minorEastAsia"/>
          <w:color w:val="auto"/>
          <w:sz w:val="22"/>
          <w:highlight w:val="none"/>
          <w:u w:val="none"/>
        </w:rPr>
        <w:t>。根据所提异议</w:t>
      </w:r>
      <w:r>
        <w:rPr>
          <w:rFonts w:hint="default" w:ascii="Times New Roman" w:hAnsi="Times New Roman" w:cs="Times New Roman" w:eastAsiaTheme="minorEastAsia"/>
          <w:color w:val="auto"/>
          <w:sz w:val="22"/>
          <w:highlight w:val="none"/>
        </w:rPr>
        <w:t>的具体情况，按照《矿业权出让交易规则》（自然资规〔2023〕1号）等相关规定进行妥善处置。</w:t>
      </w:r>
    </w:p>
    <w:p>
      <w:pPr>
        <w:keepNext w:val="0"/>
        <w:keepLines w:val="0"/>
        <w:pageBreakBefore w:val="0"/>
        <w:kinsoku/>
        <w:overflowPunct/>
        <w:topLinePunct w:val="0"/>
        <w:autoSpaceDE/>
        <w:autoSpaceDN/>
        <w:bidi w:val="0"/>
        <w:snapToGrid w:val="0"/>
        <w:spacing w:after="0" w:line="400" w:lineRule="exact"/>
        <w:ind w:firstLine="442" w:firstLineChars="200"/>
        <w:textAlignment w:val="auto"/>
        <w:rPr>
          <w:rFonts w:hint="default" w:ascii="Times New Roman" w:hAnsi="Times New Roman" w:cs="Times New Roman" w:eastAsiaTheme="minorEastAsia"/>
          <w:b/>
          <w:color w:val="auto"/>
          <w:sz w:val="22"/>
        </w:rPr>
      </w:pPr>
      <w:r>
        <w:rPr>
          <w:rFonts w:hint="default" w:ascii="Times New Roman" w:hAnsi="Times New Roman" w:cs="Times New Roman" w:eastAsiaTheme="minorEastAsia"/>
          <w:b/>
          <w:color w:val="auto"/>
          <w:sz w:val="22"/>
        </w:rPr>
        <w:t>十、违约责任、公共资源交易领域失信联合惩戒相关提示</w:t>
      </w:r>
    </w:p>
    <w:p>
      <w:pPr>
        <w:keepNext w:val="0"/>
        <w:keepLines w:val="0"/>
        <w:pageBreakBefore w:val="0"/>
        <w:kinsoku/>
        <w:overflowPunct/>
        <w:topLinePunct w:val="0"/>
        <w:autoSpaceDE/>
        <w:autoSpaceDN/>
        <w:bidi w:val="0"/>
        <w:snapToGrid w:val="0"/>
        <w:spacing w:after="0" w:line="400" w:lineRule="exact"/>
        <w:ind w:firstLine="440" w:firstLineChars="200"/>
        <w:textAlignment w:val="auto"/>
        <w:rPr>
          <w:rFonts w:hint="default" w:ascii="Times New Roman" w:hAnsi="Times New Roman" w:cs="Times New Roman" w:eastAsiaTheme="minorEastAsia"/>
          <w:color w:val="auto"/>
          <w:sz w:val="22"/>
        </w:rPr>
      </w:pPr>
      <w:r>
        <w:rPr>
          <w:rFonts w:hint="default" w:ascii="Times New Roman" w:hAnsi="Times New Roman" w:cs="Times New Roman" w:eastAsiaTheme="minorEastAsia"/>
          <w:color w:val="auto"/>
          <w:sz w:val="22"/>
        </w:rPr>
        <w:t>（一）对违反公共资源交易法律法规，违背诚实信用原则的竞买人，将按照《关于对公共资源领域严重失信主体开展联合惩戒备忘录》（发改法规〔2018〕457号）的规定，对相关失信企业和失信个人实施联合惩戒并按照公告约定承担相应的违约责任。</w:t>
      </w:r>
    </w:p>
    <w:p>
      <w:pPr>
        <w:keepNext w:val="0"/>
        <w:keepLines w:val="0"/>
        <w:pageBreakBefore w:val="0"/>
        <w:kinsoku/>
        <w:overflowPunct/>
        <w:topLinePunct w:val="0"/>
        <w:autoSpaceDE/>
        <w:autoSpaceDN/>
        <w:bidi w:val="0"/>
        <w:snapToGrid w:val="0"/>
        <w:spacing w:after="0" w:line="400" w:lineRule="exact"/>
        <w:ind w:firstLine="440" w:firstLineChars="200"/>
        <w:textAlignment w:val="auto"/>
        <w:rPr>
          <w:rFonts w:hint="default" w:ascii="Times New Roman" w:hAnsi="Times New Roman" w:cs="Times New Roman" w:eastAsiaTheme="minorEastAsia"/>
          <w:color w:val="auto"/>
          <w:sz w:val="22"/>
        </w:rPr>
      </w:pPr>
      <w:r>
        <w:rPr>
          <w:rFonts w:hint="default" w:ascii="Times New Roman" w:hAnsi="Times New Roman" w:cs="Times New Roman" w:eastAsiaTheme="minorEastAsia"/>
          <w:color w:val="auto"/>
          <w:sz w:val="22"/>
        </w:rPr>
        <w:t>（二）有下列情形之一的，视为竞买人、竞得人违约，竞得结果无效，并将其列入失信联合惩戒名单、竞买保证金不予退还，出让方有权不再签订出让合同或解除合同：</w:t>
      </w:r>
    </w:p>
    <w:p>
      <w:pPr>
        <w:keepNext w:val="0"/>
        <w:keepLines w:val="0"/>
        <w:pageBreakBefore w:val="0"/>
        <w:kinsoku/>
        <w:overflowPunct/>
        <w:topLinePunct w:val="0"/>
        <w:autoSpaceDE/>
        <w:autoSpaceDN/>
        <w:bidi w:val="0"/>
        <w:snapToGrid w:val="0"/>
        <w:spacing w:after="0" w:line="400" w:lineRule="exact"/>
        <w:ind w:firstLine="440" w:firstLineChars="200"/>
        <w:textAlignment w:val="auto"/>
        <w:rPr>
          <w:rFonts w:hint="default" w:ascii="Times New Roman" w:hAnsi="Times New Roman" w:cs="Times New Roman" w:eastAsiaTheme="minorEastAsia"/>
          <w:color w:val="auto"/>
          <w:sz w:val="22"/>
        </w:rPr>
      </w:pPr>
      <w:r>
        <w:rPr>
          <w:rFonts w:hint="default" w:ascii="Times New Roman" w:hAnsi="Times New Roman" w:cs="Times New Roman" w:eastAsiaTheme="minorEastAsia"/>
          <w:color w:val="auto"/>
          <w:sz w:val="22"/>
        </w:rPr>
        <w:t>1.竞买人之间串通报价，损害国家利益、社会公共利益或者他人合法权益的；</w:t>
      </w:r>
    </w:p>
    <w:p>
      <w:pPr>
        <w:keepNext w:val="0"/>
        <w:keepLines w:val="0"/>
        <w:pageBreakBefore w:val="0"/>
        <w:kinsoku/>
        <w:overflowPunct/>
        <w:topLinePunct w:val="0"/>
        <w:autoSpaceDE/>
        <w:autoSpaceDN/>
        <w:bidi w:val="0"/>
        <w:snapToGrid w:val="0"/>
        <w:spacing w:after="0" w:line="400" w:lineRule="exact"/>
        <w:ind w:firstLine="440" w:firstLineChars="200"/>
        <w:textAlignment w:val="auto"/>
        <w:rPr>
          <w:rFonts w:hint="default" w:ascii="Times New Roman" w:hAnsi="Times New Roman" w:cs="Times New Roman" w:eastAsiaTheme="minorEastAsia"/>
          <w:color w:val="auto"/>
          <w:sz w:val="22"/>
        </w:rPr>
      </w:pPr>
      <w:r>
        <w:rPr>
          <w:rFonts w:hint="default" w:ascii="Times New Roman" w:hAnsi="Times New Roman" w:cs="Times New Roman" w:eastAsiaTheme="minorEastAsia"/>
          <w:color w:val="auto"/>
          <w:sz w:val="22"/>
        </w:rPr>
        <w:t>2.竞买人弄虚作假，骗取交易资格或竞得的；</w:t>
      </w:r>
    </w:p>
    <w:p>
      <w:pPr>
        <w:keepNext w:val="0"/>
        <w:keepLines w:val="0"/>
        <w:pageBreakBefore w:val="0"/>
        <w:kinsoku/>
        <w:overflowPunct/>
        <w:topLinePunct w:val="0"/>
        <w:autoSpaceDE/>
        <w:autoSpaceDN/>
        <w:bidi w:val="0"/>
        <w:snapToGrid w:val="0"/>
        <w:spacing w:after="0" w:line="400" w:lineRule="exact"/>
        <w:ind w:firstLine="440" w:firstLineChars="200"/>
        <w:textAlignment w:val="auto"/>
        <w:rPr>
          <w:rFonts w:hint="default" w:ascii="Times New Roman" w:hAnsi="Times New Roman" w:cs="Times New Roman" w:eastAsiaTheme="minorEastAsia"/>
          <w:color w:val="auto"/>
          <w:sz w:val="22"/>
        </w:rPr>
      </w:pPr>
      <w:r>
        <w:rPr>
          <w:rFonts w:hint="default" w:ascii="Times New Roman" w:hAnsi="Times New Roman" w:cs="Times New Roman" w:eastAsiaTheme="minorEastAsia"/>
          <w:color w:val="auto"/>
          <w:sz w:val="22"/>
        </w:rPr>
        <w:t>3.采取行贿或其他不正当手段竞得的；</w:t>
      </w:r>
    </w:p>
    <w:p>
      <w:pPr>
        <w:keepNext w:val="0"/>
        <w:keepLines w:val="0"/>
        <w:pageBreakBefore w:val="0"/>
        <w:kinsoku/>
        <w:overflowPunct/>
        <w:topLinePunct w:val="0"/>
        <w:autoSpaceDE/>
        <w:autoSpaceDN/>
        <w:bidi w:val="0"/>
        <w:snapToGrid w:val="0"/>
        <w:spacing w:after="0" w:line="400" w:lineRule="exact"/>
        <w:ind w:firstLine="440" w:firstLineChars="200"/>
        <w:textAlignment w:val="auto"/>
        <w:rPr>
          <w:rFonts w:hint="default" w:ascii="Times New Roman" w:hAnsi="Times New Roman" w:cs="Times New Roman" w:eastAsiaTheme="minorEastAsia"/>
          <w:color w:val="auto"/>
          <w:sz w:val="22"/>
        </w:rPr>
      </w:pPr>
      <w:r>
        <w:rPr>
          <w:rFonts w:hint="default" w:ascii="Times New Roman" w:hAnsi="Times New Roman" w:cs="Times New Roman" w:eastAsiaTheme="minorEastAsia"/>
          <w:color w:val="auto"/>
          <w:sz w:val="22"/>
        </w:rPr>
        <w:t>4.竞得人逾期不签订或者拒绝签订成交确认书的；</w:t>
      </w:r>
    </w:p>
    <w:p>
      <w:pPr>
        <w:keepNext w:val="0"/>
        <w:keepLines w:val="0"/>
        <w:pageBreakBefore w:val="0"/>
        <w:kinsoku/>
        <w:overflowPunct/>
        <w:topLinePunct w:val="0"/>
        <w:autoSpaceDE/>
        <w:autoSpaceDN/>
        <w:bidi w:val="0"/>
        <w:snapToGrid w:val="0"/>
        <w:spacing w:after="0" w:line="400" w:lineRule="exact"/>
        <w:ind w:firstLine="440" w:firstLineChars="200"/>
        <w:textAlignment w:val="auto"/>
        <w:rPr>
          <w:rFonts w:hint="default" w:ascii="Times New Roman" w:hAnsi="Times New Roman" w:cs="Times New Roman" w:eastAsiaTheme="minorEastAsia"/>
          <w:color w:val="auto"/>
          <w:sz w:val="22"/>
        </w:rPr>
      </w:pPr>
      <w:r>
        <w:rPr>
          <w:rFonts w:hint="default" w:ascii="Times New Roman" w:hAnsi="Times New Roman" w:cs="Times New Roman" w:eastAsiaTheme="minorEastAsia"/>
          <w:color w:val="auto"/>
          <w:sz w:val="22"/>
        </w:rPr>
        <w:t>5.竞得人逾期不签订或者拒绝签订出让合同的；</w:t>
      </w:r>
    </w:p>
    <w:p>
      <w:pPr>
        <w:keepNext w:val="0"/>
        <w:keepLines w:val="0"/>
        <w:pageBreakBefore w:val="0"/>
        <w:kinsoku/>
        <w:overflowPunct/>
        <w:topLinePunct w:val="0"/>
        <w:autoSpaceDE/>
        <w:autoSpaceDN/>
        <w:bidi w:val="0"/>
        <w:snapToGrid w:val="0"/>
        <w:spacing w:after="0" w:line="400" w:lineRule="exact"/>
        <w:ind w:firstLine="440" w:firstLineChars="200"/>
        <w:textAlignment w:val="auto"/>
        <w:rPr>
          <w:rFonts w:hint="default" w:ascii="Times New Roman" w:hAnsi="Times New Roman" w:cs="Times New Roman" w:eastAsiaTheme="minorEastAsia"/>
          <w:color w:val="auto"/>
          <w:sz w:val="22"/>
        </w:rPr>
      </w:pPr>
      <w:r>
        <w:rPr>
          <w:rFonts w:hint="default" w:ascii="Times New Roman" w:hAnsi="Times New Roman" w:cs="Times New Roman" w:eastAsiaTheme="minorEastAsia"/>
          <w:color w:val="auto"/>
          <w:sz w:val="22"/>
        </w:rPr>
        <w:t>6.其他依法应当认定为违约的情形。</w:t>
      </w:r>
    </w:p>
    <w:p>
      <w:pPr>
        <w:keepNext w:val="0"/>
        <w:keepLines w:val="0"/>
        <w:pageBreakBefore w:val="0"/>
        <w:kinsoku/>
        <w:overflowPunct/>
        <w:topLinePunct w:val="0"/>
        <w:autoSpaceDE/>
        <w:autoSpaceDN/>
        <w:bidi w:val="0"/>
        <w:snapToGrid w:val="0"/>
        <w:spacing w:after="0" w:line="400" w:lineRule="exact"/>
        <w:ind w:firstLine="442" w:firstLineChars="200"/>
        <w:textAlignment w:val="auto"/>
        <w:rPr>
          <w:rFonts w:hint="default" w:ascii="Times New Roman" w:hAnsi="Times New Roman" w:cs="Times New Roman" w:eastAsiaTheme="minorEastAsia"/>
          <w:b/>
          <w:color w:val="auto"/>
          <w:sz w:val="22"/>
        </w:rPr>
      </w:pPr>
      <w:r>
        <w:rPr>
          <w:rFonts w:hint="default" w:ascii="Times New Roman" w:hAnsi="Times New Roman" w:cs="Times New Roman" w:eastAsiaTheme="minorEastAsia"/>
          <w:b/>
          <w:color w:val="auto"/>
          <w:sz w:val="22"/>
        </w:rPr>
        <w:t>十一、其他重要提示</w:t>
      </w:r>
    </w:p>
    <w:p>
      <w:pPr>
        <w:keepNext w:val="0"/>
        <w:keepLines w:val="0"/>
        <w:pageBreakBefore w:val="0"/>
        <w:widowControl w:val="0"/>
        <w:kinsoku/>
        <w:overflowPunct/>
        <w:topLinePunct w:val="0"/>
        <w:autoSpaceDE/>
        <w:autoSpaceDN/>
        <w:bidi w:val="0"/>
        <w:adjustRightInd/>
        <w:snapToGrid w:val="0"/>
        <w:spacing w:after="0" w:line="400" w:lineRule="exact"/>
        <w:ind w:firstLine="440" w:firstLineChars="200"/>
        <w:textAlignment w:val="auto"/>
        <w:rPr>
          <w:rFonts w:hint="default" w:ascii="Times New Roman" w:hAnsi="Times New Roman" w:cs="Times New Roman" w:eastAsiaTheme="minorEastAsia"/>
          <w:color w:val="auto"/>
          <w:sz w:val="22"/>
          <w:u w:val="none"/>
          <w:lang w:eastAsia="zh-CN"/>
        </w:rPr>
      </w:pPr>
      <w:r>
        <w:rPr>
          <w:rFonts w:hint="default" w:ascii="Times New Roman" w:hAnsi="Times New Roman" w:cs="Times New Roman" w:eastAsiaTheme="minorEastAsia"/>
          <w:color w:val="auto"/>
          <w:sz w:val="22"/>
          <w:u w:val="none"/>
          <w:lang w:eastAsia="zh-CN"/>
        </w:rPr>
        <w:t>（一）竞得人须按绿色矿山标准要求进行矿山规划、设计、建设和运营管理，确保矿山环境面貌、开发利用方式、资源节约集约利用、现代化矿山建设、矿地和谐和企业文化等各方面达到绿色矿山建设标准，并在矿山投产时同步完成绿色矿山建设。</w:t>
      </w:r>
    </w:p>
    <w:p>
      <w:pPr>
        <w:keepNext w:val="0"/>
        <w:keepLines w:val="0"/>
        <w:pageBreakBefore w:val="0"/>
        <w:widowControl w:val="0"/>
        <w:kinsoku/>
        <w:overflowPunct/>
        <w:topLinePunct w:val="0"/>
        <w:autoSpaceDE/>
        <w:autoSpaceDN/>
        <w:bidi w:val="0"/>
        <w:adjustRightInd/>
        <w:snapToGrid w:val="0"/>
        <w:spacing w:after="0" w:line="400" w:lineRule="exact"/>
        <w:ind w:firstLine="440" w:firstLineChars="200"/>
        <w:textAlignment w:val="auto"/>
        <w:rPr>
          <w:rFonts w:hint="default" w:ascii="Times New Roman" w:hAnsi="Times New Roman" w:cs="Times New Roman" w:eastAsiaTheme="minorEastAsia"/>
          <w:color w:val="auto"/>
          <w:sz w:val="22"/>
          <w:u w:val="none"/>
          <w:lang w:eastAsia="zh-CN"/>
        </w:rPr>
      </w:pPr>
      <w:r>
        <w:rPr>
          <w:rFonts w:hint="default" w:ascii="Times New Roman" w:hAnsi="Times New Roman" w:cs="Times New Roman" w:eastAsiaTheme="minorEastAsia"/>
          <w:color w:val="auto"/>
          <w:sz w:val="22"/>
          <w:u w:val="none"/>
          <w:lang w:eastAsia="zh-CN"/>
        </w:rPr>
        <w:t>（二）竞得人须自行或委托编制《矿山地质环境保护和土地复垦方案》并通过审查，同时按照《矿山地质环境保护规定》等相关文件履行矿山地质环境保护义务。矿山开采方式应符合区域生态建设与环境保护要求，做到资源分级利用，按</w:t>
      </w:r>
      <w:r>
        <w:rPr>
          <w:rFonts w:hint="eastAsia" w:asciiTheme="minorEastAsia" w:hAnsiTheme="minorEastAsia" w:eastAsiaTheme="minorEastAsia" w:cstheme="minorEastAsia"/>
          <w:color w:val="auto"/>
          <w:sz w:val="22"/>
          <w:u w:val="none"/>
          <w:lang w:eastAsia="zh-CN"/>
        </w:rPr>
        <w:t>照“边开采、边恢复”的</w:t>
      </w:r>
      <w:r>
        <w:rPr>
          <w:rFonts w:hint="default" w:ascii="Times New Roman" w:hAnsi="Times New Roman" w:cs="Times New Roman" w:eastAsiaTheme="minorEastAsia"/>
          <w:color w:val="auto"/>
          <w:sz w:val="22"/>
          <w:u w:val="none"/>
          <w:lang w:eastAsia="zh-CN"/>
        </w:rPr>
        <w:t>原则，及时治理恢复矿山地质环境；设立矿山地质环境治理恢复基金账户，及时、足额预存矿山地质环境治理恢复基金，采矿权资源开采完毕或出让到期终止后按照要求进行治理恢复并通过验收。</w:t>
      </w:r>
    </w:p>
    <w:p>
      <w:pPr>
        <w:keepNext w:val="0"/>
        <w:keepLines w:val="0"/>
        <w:pageBreakBefore w:val="0"/>
        <w:widowControl w:val="0"/>
        <w:kinsoku/>
        <w:overflowPunct/>
        <w:topLinePunct w:val="0"/>
        <w:autoSpaceDE/>
        <w:autoSpaceDN/>
        <w:bidi w:val="0"/>
        <w:adjustRightInd/>
        <w:snapToGrid w:val="0"/>
        <w:spacing w:after="0" w:line="400" w:lineRule="exact"/>
        <w:ind w:firstLine="440" w:firstLineChars="200"/>
        <w:textAlignment w:val="auto"/>
        <w:rPr>
          <w:rFonts w:hint="default" w:ascii="Times New Roman" w:hAnsi="Times New Roman" w:cs="Times New Roman" w:eastAsiaTheme="minorEastAsia"/>
          <w:color w:val="auto"/>
          <w:sz w:val="22"/>
          <w:u w:val="none"/>
        </w:rPr>
      </w:pPr>
      <w:r>
        <w:rPr>
          <w:rFonts w:hint="default" w:ascii="Times New Roman" w:hAnsi="Times New Roman" w:cs="Times New Roman" w:eastAsiaTheme="minorEastAsia"/>
          <w:color w:val="auto"/>
          <w:sz w:val="22"/>
          <w:u w:val="none"/>
          <w:lang w:eastAsia="zh-CN"/>
        </w:rPr>
        <w:t>（</w:t>
      </w:r>
      <w:r>
        <w:rPr>
          <w:rFonts w:hint="default" w:ascii="Times New Roman" w:hAnsi="Times New Roman" w:cs="Times New Roman" w:eastAsiaTheme="minorEastAsia"/>
          <w:color w:val="auto"/>
          <w:sz w:val="22"/>
          <w:u w:val="none"/>
          <w:lang w:val="en-US" w:eastAsia="zh-CN"/>
        </w:rPr>
        <w:t>三）重庆市巴南区规划和自然资源局</w:t>
      </w:r>
      <w:r>
        <w:rPr>
          <w:rFonts w:hint="default" w:ascii="Times New Roman" w:hAnsi="Times New Roman" w:cs="Times New Roman" w:eastAsiaTheme="minorEastAsia"/>
          <w:color w:val="auto"/>
          <w:sz w:val="22"/>
          <w:u w:val="none"/>
        </w:rPr>
        <w:t>已</w:t>
      </w:r>
      <w:r>
        <w:rPr>
          <w:rFonts w:hint="default" w:ascii="Times New Roman" w:hAnsi="Times New Roman" w:cs="Times New Roman" w:eastAsiaTheme="minorEastAsia"/>
          <w:color w:val="auto"/>
          <w:sz w:val="22"/>
          <w:u w:val="none"/>
          <w:lang w:val="en-US" w:eastAsia="zh-CN"/>
        </w:rPr>
        <w:t>协调该地热采矿权井口所处存量国有建设用地宗地权属人，竞得人竞得该采矿权后，若使用井口及开采设施所处宗地及其附属房屋，由竞得人与宗地权属人签订租赁协议，租赁费用在出让收益外单列，由竞得人另行支付给宗地权属人。土地、房屋租赁费用由巴南区规划和自然资源局委托重庆市国能矿业权资产评估有限公司评估，租赁费用为人民币380.42万</w:t>
      </w:r>
      <w:r>
        <w:rPr>
          <w:rFonts w:hint="default" w:ascii="Times New Roman" w:hAnsi="Times New Roman" w:cs="Times New Roman" w:eastAsiaTheme="minorEastAsia"/>
          <w:color w:val="auto"/>
          <w:sz w:val="22"/>
          <w:u w:val="none"/>
        </w:rPr>
        <w:t>元/年，租赁年限与矿产资源开发利用期限</w:t>
      </w:r>
      <w:r>
        <w:rPr>
          <w:rFonts w:hint="default" w:ascii="Times New Roman" w:hAnsi="Times New Roman" w:cs="Times New Roman" w:eastAsiaTheme="minorEastAsia"/>
          <w:color w:val="auto"/>
          <w:sz w:val="22"/>
          <w:u w:val="none"/>
          <w:lang w:eastAsia="zh-CN"/>
        </w:rPr>
        <w:t>（</w:t>
      </w:r>
      <w:r>
        <w:rPr>
          <w:rFonts w:hint="default" w:ascii="Times New Roman" w:hAnsi="Times New Roman" w:cs="Times New Roman" w:eastAsiaTheme="minorEastAsia"/>
          <w:color w:val="auto"/>
          <w:sz w:val="22"/>
          <w:u w:val="none"/>
          <w:lang w:val="en-US" w:eastAsia="zh-CN"/>
        </w:rPr>
        <w:t>出让年限</w:t>
      </w:r>
      <w:r>
        <w:rPr>
          <w:rFonts w:hint="default" w:ascii="Times New Roman" w:hAnsi="Times New Roman" w:cs="Times New Roman" w:eastAsiaTheme="minorEastAsia"/>
          <w:color w:val="auto"/>
          <w:sz w:val="22"/>
          <w:u w:val="none"/>
          <w:lang w:eastAsia="zh-CN"/>
        </w:rPr>
        <w:t>）</w:t>
      </w:r>
      <w:r>
        <w:rPr>
          <w:rFonts w:hint="default" w:ascii="Times New Roman" w:hAnsi="Times New Roman" w:cs="Times New Roman" w:eastAsiaTheme="minorEastAsia"/>
          <w:color w:val="auto"/>
          <w:sz w:val="22"/>
          <w:u w:val="none"/>
        </w:rPr>
        <w:t>保持一致。竞买人在报名前须自行开展必要的现场踏勘，查询相关报告、协议、凭据等资料，了解具体支付方式及转接要求（</w:t>
      </w:r>
      <w:r>
        <w:rPr>
          <w:rFonts w:hint="default" w:ascii="Times New Roman" w:hAnsi="Times New Roman" w:cs="Times New Roman" w:eastAsiaTheme="minorEastAsia"/>
          <w:color w:val="auto"/>
          <w:sz w:val="22"/>
          <w:u w:val="none"/>
          <w:lang w:eastAsia="zh-CN"/>
        </w:rPr>
        <w:t>重庆市巴南区规划和自然资源局</w:t>
      </w:r>
      <w:r>
        <w:rPr>
          <w:rFonts w:hint="default" w:ascii="Times New Roman" w:hAnsi="Times New Roman" w:cs="Times New Roman" w:eastAsiaTheme="minorEastAsia"/>
          <w:color w:val="auto"/>
          <w:sz w:val="22"/>
          <w:u w:val="none"/>
        </w:rPr>
        <w:t>联系人：</w:t>
      </w:r>
      <w:r>
        <w:rPr>
          <w:rFonts w:hint="default" w:ascii="Times New Roman" w:hAnsi="Times New Roman" w:cs="Times New Roman" w:eastAsiaTheme="minorEastAsia"/>
          <w:color w:val="auto"/>
          <w:sz w:val="22"/>
          <w:u w:val="none"/>
          <w:lang w:val="en-US" w:eastAsia="zh-CN"/>
        </w:rPr>
        <w:t>陈老师</w:t>
      </w:r>
      <w:r>
        <w:rPr>
          <w:rFonts w:hint="default" w:ascii="Times New Roman" w:hAnsi="Times New Roman" w:cs="Times New Roman" w:eastAsiaTheme="minorEastAsia"/>
          <w:color w:val="auto"/>
          <w:sz w:val="22"/>
          <w:u w:val="none"/>
        </w:rPr>
        <w:t>，联系电话：</w:t>
      </w:r>
      <w:r>
        <w:rPr>
          <w:rFonts w:hint="default" w:ascii="Times New Roman" w:hAnsi="Times New Roman" w:cs="Times New Roman" w:eastAsiaTheme="minorEastAsia"/>
          <w:color w:val="auto"/>
          <w:sz w:val="22"/>
          <w:u w:val="none"/>
          <w:lang w:val="en-US" w:eastAsia="zh-CN"/>
        </w:rPr>
        <w:t>023-66221704</w:t>
      </w:r>
      <w:r>
        <w:rPr>
          <w:rFonts w:hint="default" w:ascii="Times New Roman" w:hAnsi="Times New Roman" w:cs="Times New Roman" w:eastAsiaTheme="minorEastAsia"/>
          <w:color w:val="auto"/>
          <w:sz w:val="22"/>
          <w:u w:val="none"/>
        </w:rPr>
        <w:t>）。</w:t>
      </w:r>
    </w:p>
    <w:p>
      <w:pPr>
        <w:keepNext w:val="0"/>
        <w:keepLines w:val="0"/>
        <w:pageBreakBefore w:val="0"/>
        <w:widowControl w:val="0"/>
        <w:kinsoku/>
        <w:overflowPunct/>
        <w:topLinePunct w:val="0"/>
        <w:autoSpaceDE/>
        <w:autoSpaceDN/>
        <w:bidi w:val="0"/>
        <w:adjustRightInd/>
        <w:snapToGrid w:val="0"/>
        <w:spacing w:after="0" w:line="400" w:lineRule="exact"/>
        <w:ind w:firstLine="440" w:firstLineChars="200"/>
        <w:textAlignment w:val="auto"/>
        <w:rPr>
          <w:rFonts w:hint="default" w:ascii="Times New Roman" w:hAnsi="Times New Roman" w:cs="Times New Roman" w:eastAsiaTheme="minorEastAsia"/>
          <w:color w:val="auto"/>
          <w:sz w:val="22"/>
          <w:u w:val="none"/>
        </w:rPr>
      </w:pPr>
      <w:r>
        <w:rPr>
          <w:rFonts w:hint="default" w:ascii="Times New Roman" w:hAnsi="Times New Roman" w:cs="Times New Roman" w:eastAsiaTheme="minorEastAsia"/>
          <w:color w:val="auto"/>
          <w:sz w:val="22"/>
          <w:u w:val="none"/>
          <w:lang w:eastAsia="zh-CN"/>
        </w:rPr>
        <w:t>（</w:t>
      </w:r>
      <w:r>
        <w:rPr>
          <w:rFonts w:hint="default" w:ascii="Times New Roman" w:hAnsi="Times New Roman" w:cs="Times New Roman" w:eastAsiaTheme="minorEastAsia"/>
          <w:color w:val="auto"/>
          <w:sz w:val="22"/>
          <w:u w:val="none"/>
          <w:lang w:val="en-US" w:eastAsia="zh-CN"/>
        </w:rPr>
        <w:t>四</w:t>
      </w:r>
      <w:r>
        <w:rPr>
          <w:rFonts w:hint="default" w:ascii="Times New Roman" w:hAnsi="Times New Roman" w:cs="Times New Roman" w:eastAsiaTheme="minorEastAsia"/>
          <w:color w:val="auto"/>
          <w:sz w:val="22"/>
          <w:u w:val="none"/>
          <w:lang w:eastAsia="zh-CN"/>
        </w:rPr>
        <w:t>）</w:t>
      </w:r>
      <w:r>
        <w:rPr>
          <w:rFonts w:hint="default" w:ascii="Times New Roman" w:hAnsi="Times New Roman" w:cs="Times New Roman" w:eastAsiaTheme="minorEastAsia"/>
          <w:color w:val="auto"/>
          <w:sz w:val="22"/>
          <w:u w:val="none"/>
        </w:rPr>
        <w:t>提交竞买申请即视为竞买人对拟出让采矿权现状、出让文件、采矿权出让合同、</w:t>
      </w:r>
      <w:r>
        <w:rPr>
          <w:rFonts w:hint="default" w:ascii="Times New Roman" w:hAnsi="Times New Roman" w:cs="Times New Roman" w:eastAsiaTheme="minorEastAsia"/>
          <w:color w:val="auto"/>
          <w:sz w:val="22"/>
          <w:u w:val="none"/>
          <w:lang w:val="en-US" w:eastAsia="zh-CN"/>
        </w:rPr>
        <w:t>土地房屋租赁</w:t>
      </w:r>
      <w:r>
        <w:rPr>
          <w:rFonts w:hint="default" w:ascii="Times New Roman" w:hAnsi="Times New Roman" w:cs="Times New Roman" w:eastAsiaTheme="minorEastAsia"/>
          <w:color w:val="auto"/>
          <w:sz w:val="22"/>
          <w:u w:val="none"/>
        </w:rPr>
        <w:t>费用、政策要求等内容已完全认可并自愿承担所有风险。</w:t>
      </w:r>
    </w:p>
    <w:p>
      <w:pPr>
        <w:keepNext w:val="0"/>
        <w:keepLines w:val="0"/>
        <w:pageBreakBefore w:val="0"/>
        <w:widowControl w:val="0"/>
        <w:kinsoku/>
        <w:overflowPunct/>
        <w:topLinePunct w:val="0"/>
        <w:autoSpaceDE/>
        <w:autoSpaceDN/>
        <w:bidi w:val="0"/>
        <w:adjustRightInd/>
        <w:snapToGrid w:val="0"/>
        <w:spacing w:after="0" w:line="400" w:lineRule="exact"/>
        <w:ind w:firstLine="440" w:firstLineChars="200"/>
        <w:textAlignment w:val="auto"/>
        <w:rPr>
          <w:rFonts w:hint="default" w:ascii="Times New Roman" w:hAnsi="Times New Roman" w:cs="Times New Roman" w:eastAsiaTheme="minorEastAsia"/>
          <w:color w:val="auto"/>
          <w:sz w:val="22"/>
          <w:highlight w:val="yellow"/>
          <w:u w:val="none"/>
        </w:rPr>
      </w:pPr>
      <w:r>
        <w:rPr>
          <w:rFonts w:hint="default" w:ascii="Times New Roman" w:hAnsi="Times New Roman" w:cs="Times New Roman" w:eastAsiaTheme="minorEastAsia"/>
          <w:color w:val="auto"/>
          <w:sz w:val="22"/>
          <w:highlight w:val="none"/>
          <w:u w:val="none"/>
          <w:lang w:val="en-US" w:eastAsia="zh-CN"/>
        </w:rPr>
        <w:t>（五）竞得人在签收《成交确认书》之日起5个工作日内需另行支付交易服务费</w:t>
      </w:r>
      <w:r>
        <w:rPr>
          <w:rFonts w:hint="default" w:ascii="Times New Roman" w:hAnsi="Times New Roman" w:cs="Times New Roman" w:eastAsiaTheme="minorEastAsia"/>
          <w:color w:val="auto"/>
          <w:sz w:val="22"/>
          <w:highlight w:val="none"/>
          <w:u w:val="single"/>
          <w:lang w:val="en-US" w:eastAsia="zh-CN"/>
        </w:rPr>
        <w:t>14.55</w:t>
      </w:r>
      <w:r>
        <w:rPr>
          <w:rFonts w:hint="default" w:ascii="Times New Roman" w:hAnsi="Times New Roman" w:cs="Times New Roman" w:eastAsiaTheme="minorEastAsia"/>
          <w:color w:val="auto"/>
          <w:sz w:val="22"/>
          <w:highlight w:val="none"/>
          <w:u w:val="none"/>
          <w:lang w:val="en-US" w:eastAsia="zh-CN"/>
        </w:rPr>
        <w:t>元（暂定，以最终成交价测算为准）。收费标准按《重庆市发展和改革委员会关于矿业权和加工贸易废料交易服务收费有关事项的通知》（渝发改收费〔2025〕421号）执行。</w:t>
      </w:r>
    </w:p>
    <w:p>
      <w:pPr>
        <w:keepNext w:val="0"/>
        <w:keepLines w:val="0"/>
        <w:pageBreakBefore w:val="0"/>
        <w:widowControl w:val="0"/>
        <w:kinsoku/>
        <w:overflowPunct/>
        <w:topLinePunct w:val="0"/>
        <w:autoSpaceDE/>
        <w:autoSpaceDN/>
        <w:bidi w:val="0"/>
        <w:adjustRightInd/>
        <w:snapToGrid w:val="0"/>
        <w:spacing w:after="0" w:line="400" w:lineRule="exact"/>
        <w:ind w:firstLine="440" w:firstLineChars="200"/>
        <w:jc w:val="left"/>
        <w:textAlignment w:val="auto"/>
        <w:rPr>
          <w:rFonts w:hint="default" w:ascii="Times New Roman" w:hAnsi="Times New Roman" w:cs="Times New Roman" w:eastAsiaTheme="minorEastAsia"/>
          <w:i w:val="0"/>
          <w:iCs w:val="0"/>
          <w:color w:val="auto"/>
          <w:kern w:val="0"/>
          <w:sz w:val="22"/>
          <w:szCs w:val="22"/>
          <w:lang w:val="en-US" w:eastAsia="zh-CN"/>
        </w:rPr>
      </w:pPr>
    </w:p>
    <w:p>
      <w:pPr>
        <w:keepNext w:val="0"/>
        <w:keepLines w:val="0"/>
        <w:pageBreakBefore w:val="0"/>
        <w:widowControl w:val="0"/>
        <w:kinsoku/>
        <w:overflowPunct/>
        <w:topLinePunct w:val="0"/>
        <w:autoSpaceDE/>
        <w:autoSpaceDN/>
        <w:bidi w:val="0"/>
        <w:adjustRightInd/>
        <w:snapToGrid w:val="0"/>
        <w:spacing w:after="0" w:line="400" w:lineRule="exact"/>
        <w:ind w:firstLine="440" w:firstLineChars="200"/>
        <w:jc w:val="left"/>
        <w:textAlignment w:val="auto"/>
        <w:rPr>
          <w:rFonts w:hint="default" w:ascii="Times New Roman" w:hAnsi="Times New Roman" w:cs="Times New Roman" w:eastAsiaTheme="minorEastAsia"/>
          <w:i w:val="0"/>
          <w:iCs w:val="0"/>
          <w:color w:val="auto"/>
          <w:kern w:val="0"/>
          <w:sz w:val="22"/>
          <w:szCs w:val="22"/>
          <w:lang w:val="en-US" w:eastAsia="zh-CN"/>
        </w:rPr>
      </w:pPr>
    </w:p>
    <w:p>
      <w:pPr>
        <w:keepNext w:val="0"/>
        <w:keepLines w:val="0"/>
        <w:pageBreakBefore w:val="0"/>
        <w:widowControl w:val="0"/>
        <w:kinsoku/>
        <w:wordWrap w:val="0"/>
        <w:overflowPunct/>
        <w:topLinePunct w:val="0"/>
        <w:autoSpaceDE/>
        <w:autoSpaceDN/>
        <w:bidi w:val="0"/>
        <w:adjustRightInd/>
        <w:snapToGrid w:val="0"/>
        <w:spacing w:after="0" w:line="400" w:lineRule="exact"/>
        <w:ind w:firstLine="660" w:firstLineChars="300"/>
        <w:jc w:val="right"/>
        <w:textAlignment w:val="auto"/>
        <w:rPr>
          <w:rFonts w:hint="default" w:ascii="Times New Roman" w:hAnsi="Times New Roman" w:cs="Times New Roman" w:eastAsiaTheme="minorEastAsia"/>
          <w:i w:val="0"/>
          <w:iCs w:val="0"/>
          <w:color w:val="auto"/>
          <w:sz w:val="22"/>
          <w:szCs w:val="22"/>
          <w:u w:val="none"/>
          <w:lang w:val="en-US" w:eastAsia="zh-CN"/>
        </w:rPr>
      </w:pPr>
      <w:r>
        <w:rPr>
          <w:rFonts w:hint="default" w:ascii="Times New Roman" w:hAnsi="Times New Roman" w:cs="Times New Roman" w:eastAsiaTheme="minorEastAsia"/>
          <w:i w:val="0"/>
          <w:iCs w:val="0"/>
          <w:color w:val="auto"/>
          <w:sz w:val="22"/>
          <w:szCs w:val="22"/>
          <w:u w:val="none"/>
          <w:lang w:val="en-US" w:eastAsia="zh-CN"/>
        </w:rPr>
        <w:t>重庆市巴南区</w:t>
      </w:r>
      <w:r>
        <w:rPr>
          <w:rFonts w:hint="default" w:ascii="Times New Roman" w:hAnsi="Times New Roman" w:cs="Times New Roman" w:eastAsiaTheme="minorEastAsia"/>
          <w:i w:val="0"/>
          <w:iCs w:val="0"/>
          <w:color w:val="auto"/>
          <w:sz w:val="22"/>
          <w:szCs w:val="22"/>
          <w:u w:val="none"/>
        </w:rPr>
        <w:t>规划和自然资源局</w:t>
      </w:r>
    </w:p>
    <w:p>
      <w:pPr>
        <w:keepNext w:val="0"/>
        <w:keepLines w:val="0"/>
        <w:pageBreakBefore w:val="0"/>
        <w:widowControl w:val="0"/>
        <w:kinsoku/>
        <w:wordWrap w:val="0"/>
        <w:overflowPunct/>
        <w:topLinePunct w:val="0"/>
        <w:autoSpaceDE/>
        <w:autoSpaceDN/>
        <w:bidi w:val="0"/>
        <w:adjustRightInd/>
        <w:snapToGrid w:val="0"/>
        <w:spacing w:after="0" w:line="400" w:lineRule="exact"/>
        <w:ind w:firstLine="660" w:firstLineChars="300"/>
        <w:jc w:val="right"/>
        <w:textAlignment w:val="auto"/>
        <w:rPr>
          <w:rFonts w:hint="default"/>
          <w:color w:val="auto"/>
          <w:lang w:val="en-US" w:eastAsia="zh-CN"/>
        </w:rPr>
      </w:pPr>
      <w:r>
        <w:rPr>
          <w:rFonts w:hint="default" w:ascii="Times New Roman" w:hAnsi="Times New Roman" w:cs="Times New Roman" w:eastAsiaTheme="minorEastAsia"/>
          <w:i w:val="0"/>
          <w:iCs w:val="0"/>
          <w:color w:val="auto"/>
          <w:sz w:val="22"/>
          <w:szCs w:val="22"/>
          <w:u w:val="none"/>
          <w:lang w:val="en-US" w:eastAsia="zh-CN"/>
        </w:rPr>
        <w:t xml:space="preserve">                                                  202</w:t>
      </w:r>
      <w:r>
        <w:rPr>
          <w:rFonts w:hint="eastAsia" w:ascii="Times New Roman" w:hAnsi="Times New Roman" w:cs="Times New Roman" w:eastAsiaTheme="minorEastAsia"/>
          <w:i w:val="0"/>
          <w:iCs w:val="0"/>
          <w:color w:val="auto"/>
          <w:sz w:val="22"/>
          <w:szCs w:val="22"/>
          <w:u w:val="none"/>
          <w:lang w:val="en-US" w:eastAsia="zh-CN"/>
        </w:rPr>
        <w:t>5</w:t>
      </w:r>
      <w:r>
        <w:rPr>
          <w:rFonts w:hint="default" w:ascii="Times New Roman" w:hAnsi="Times New Roman" w:cs="Times New Roman" w:eastAsiaTheme="minorEastAsia"/>
          <w:i w:val="0"/>
          <w:iCs w:val="0"/>
          <w:color w:val="auto"/>
          <w:sz w:val="22"/>
          <w:szCs w:val="22"/>
          <w:u w:val="none"/>
          <w:lang w:val="en-US" w:eastAsia="zh-CN"/>
        </w:rPr>
        <w:t>年</w:t>
      </w:r>
      <w:r>
        <w:rPr>
          <w:rFonts w:hint="eastAsia" w:cs="Times New Roman" w:eastAsiaTheme="minorEastAsia"/>
          <w:i w:val="0"/>
          <w:iCs w:val="0"/>
          <w:color w:val="auto"/>
          <w:sz w:val="22"/>
          <w:szCs w:val="22"/>
          <w:u w:val="none"/>
          <w:lang w:val="en-US" w:eastAsia="zh-CN"/>
        </w:rPr>
        <w:t>5</w:t>
      </w:r>
      <w:r>
        <w:rPr>
          <w:rFonts w:hint="default" w:ascii="Times New Roman" w:hAnsi="Times New Roman" w:cs="Times New Roman" w:eastAsiaTheme="minorEastAsia"/>
          <w:i w:val="0"/>
          <w:iCs w:val="0"/>
          <w:color w:val="auto"/>
          <w:sz w:val="22"/>
          <w:szCs w:val="22"/>
          <w:u w:val="none"/>
          <w:lang w:val="en-US" w:eastAsia="zh-CN"/>
        </w:rPr>
        <w:t>月</w:t>
      </w:r>
      <w:r>
        <w:rPr>
          <w:rFonts w:hint="eastAsia" w:cs="Times New Roman" w:eastAsiaTheme="minorEastAsia"/>
          <w:i w:val="0"/>
          <w:iCs w:val="0"/>
          <w:color w:val="auto"/>
          <w:sz w:val="22"/>
          <w:szCs w:val="22"/>
          <w:u w:val="none"/>
          <w:lang w:val="en-US" w:eastAsia="zh-CN"/>
        </w:rPr>
        <w:t>30日</w:t>
      </w:r>
    </w:p>
    <w:sectPr>
      <w:headerReference r:id="rId3" w:type="default"/>
      <w:footerReference r:id="rId4" w:type="default"/>
      <w:pgSz w:w="16838" w:h="11906" w:orient="landscape"/>
      <w:pgMar w:top="1446" w:right="1984" w:bottom="1446" w:left="1644" w:header="851" w:footer="1417" w:gutter="0"/>
      <w:pgNumType w:fmt="decimal"/>
      <w:cols w:space="0" w:num="1"/>
      <w:rtlGutter w:val="0"/>
      <w:docGrid w:type="lines" w:linePitch="45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39" w:line="20" w:lineRule="exact"/>
      <w:ind w:firstLine="69"/>
      <w:textAlignment w:val="center"/>
    </w:pPr>
    <w:r>
      <w:rPr>
        <w:sz w:val="22"/>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1" name="文本框 10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snapToGrid w:val="0"/>
                            <w:jc w:val="right"/>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wps:txbx>
                    <wps:bodyPr wrap="none" lIns="0" tIns="0" rIns="0" bIns="0" upright="0">
                      <a:spAutoFit/>
                    </wps:bodyPr>
                  </wps:wsp>
                </a:graphicData>
              </a:graphic>
            </wp:anchor>
          </w:drawing>
        </mc:Choice>
        <mc:Fallback>
          <w:pict>
            <v:shape id="文本框 1029"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aGmCS9MAAAAFAQAADwAAAAAAAAABACAAAAAiAAAAZHJzL2Rvd25yZXYueG1sUEsBAhQAFAAA&#10;AAgAh07iQHKL0s+7AQAAWQMAAA4AAAAAAAAAAQAgAAAAIgEAAGRycy9lMm9Eb2MueG1sUEsFBgAA&#10;AAAGAAYAWQEAAE8FAAAAAA==&#10;">
              <v:fill on="f" focussize="0,0"/>
              <v:stroke on="f" weight="1.25pt"/>
              <v:imagedata o:title=""/>
              <o:lock v:ext="edit" aspectratio="f"/>
              <v:textbox inset="0mm,0mm,0mm,0mm" style="mso-fit-shape-to-text:t;">
                <w:txbxContent>
                  <w:p>
                    <w:pPr>
                      <w:snapToGrid w:val="0"/>
                      <w:jc w:val="right"/>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 w:lineRule="exact"/>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85B1A"/>
    <w:multiLevelType w:val="multilevel"/>
    <w:tmpl w:val="2C585B1A"/>
    <w:lvl w:ilvl="0" w:tentative="0">
      <w:start w:val="1"/>
      <w:numFmt w:val="decimal"/>
      <w:lvlText w:val="%1"/>
      <w:lvlJc w:val="left"/>
      <w:pPr>
        <w:ind w:left="432" w:hanging="432"/>
      </w:pPr>
      <w:rPr>
        <w:rFonts w:hint="eastAsia"/>
      </w:rPr>
    </w:lvl>
    <w:lvl w:ilvl="1" w:tentative="0">
      <w:start w:val="1"/>
      <w:numFmt w:val="decimal"/>
      <w:lvlText w:val="%1.%2"/>
      <w:lvlJc w:val="left"/>
      <w:pPr>
        <w:ind w:left="576" w:hanging="576"/>
      </w:pPr>
    </w:lvl>
    <w:lvl w:ilvl="2" w:tentative="0">
      <w:start w:val="1"/>
      <w:numFmt w:val="decimal"/>
      <w:lvlText w:val="%1.%2.%3"/>
      <w:lvlJc w:val="left"/>
      <w:pPr>
        <w:ind w:left="720" w:hanging="720"/>
      </w:pPr>
    </w:lvl>
    <w:lvl w:ilvl="3" w:tentative="0">
      <w:start w:val="1"/>
      <w:numFmt w:val="decimal"/>
      <w:pStyle w:val="2"/>
      <w:lvlText w:val="%1.%2.%3.%4"/>
      <w:lvlJc w:val="left"/>
      <w:pPr>
        <w:ind w:left="864" w:hanging="864"/>
      </w:pPr>
    </w:lvl>
    <w:lvl w:ilvl="4" w:tentative="0">
      <w:start w:val="1"/>
      <w:numFmt w:val="decimal"/>
      <w:lvlText w:val="%1.%2.%3.%4.%5"/>
      <w:lvlJc w:val="left"/>
      <w:pPr>
        <w:ind w:left="1008" w:hanging="1008"/>
      </w:pPr>
    </w:lvl>
    <w:lvl w:ilvl="5" w:tentative="0">
      <w:start w:val="1"/>
      <w:numFmt w:val="decimal"/>
      <w:lvlText w:val="%1.%2.%3.%4.%5.%6"/>
      <w:lvlJc w:val="left"/>
      <w:pPr>
        <w:ind w:left="1152" w:hanging="1152"/>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225"/>
  <w:displayHorizontalDrawingGridEvery w:val="1"/>
  <w:displayVerticalDrawingGridEvery w:val="2"/>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BkNzVkNTQ2ZDBmNDgzNmVlYTU5MDkxZmUwYjcyYTIifQ=="/>
  </w:docVars>
  <w:rsids>
    <w:rsidRoot w:val="00792085"/>
    <w:rsid w:val="00080241"/>
    <w:rsid w:val="000B4986"/>
    <w:rsid w:val="002D5B5E"/>
    <w:rsid w:val="003C083A"/>
    <w:rsid w:val="00774F22"/>
    <w:rsid w:val="00792085"/>
    <w:rsid w:val="008D3DCB"/>
    <w:rsid w:val="009A3F89"/>
    <w:rsid w:val="00A15E37"/>
    <w:rsid w:val="00A2301C"/>
    <w:rsid w:val="00B061E0"/>
    <w:rsid w:val="00B30A52"/>
    <w:rsid w:val="00D10F63"/>
    <w:rsid w:val="00D80872"/>
    <w:rsid w:val="00E574AF"/>
    <w:rsid w:val="00EC5AFE"/>
    <w:rsid w:val="00FF6AA0"/>
    <w:rsid w:val="01B42FCD"/>
    <w:rsid w:val="02A6381A"/>
    <w:rsid w:val="030E0B5E"/>
    <w:rsid w:val="03B42FF9"/>
    <w:rsid w:val="04806673"/>
    <w:rsid w:val="04D83B59"/>
    <w:rsid w:val="0617489C"/>
    <w:rsid w:val="062F1D5A"/>
    <w:rsid w:val="084F200F"/>
    <w:rsid w:val="0A232562"/>
    <w:rsid w:val="0A7E105D"/>
    <w:rsid w:val="0C6D5A7F"/>
    <w:rsid w:val="0CAC22F2"/>
    <w:rsid w:val="0D190B47"/>
    <w:rsid w:val="10BB3EC3"/>
    <w:rsid w:val="11055925"/>
    <w:rsid w:val="144A1028"/>
    <w:rsid w:val="146D047C"/>
    <w:rsid w:val="14B2359C"/>
    <w:rsid w:val="14D47D08"/>
    <w:rsid w:val="16733812"/>
    <w:rsid w:val="17C838FC"/>
    <w:rsid w:val="18101BF6"/>
    <w:rsid w:val="18A420CF"/>
    <w:rsid w:val="18C36FAA"/>
    <w:rsid w:val="198E2934"/>
    <w:rsid w:val="1AA32180"/>
    <w:rsid w:val="1D0638A8"/>
    <w:rsid w:val="1DC77670"/>
    <w:rsid w:val="1DE1515A"/>
    <w:rsid w:val="1E1525FB"/>
    <w:rsid w:val="1E5E7BD5"/>
    <w:rsid w:val="1EF70975"/>
    <w:rsid w:val="1F77603D"/>
    <w:rsid w:val="1F9F5C2C"/>
    <w:rsid w:val="200E3BE0"/>
    <w:rsid w:val="209E2429"/>
    <w:rsid w:val="252F0833"/>
    <w:rsid w:val="26264E8C"/>
    <w:rsid w:val="26A85569"/>
    <w:rsid w:val="26C27541"/>
    <w:rsid w:val="272F1227"/>
    <w:rsid w:val="27DB66B4"/>
    <w:rsid w:val="285C758D"/>
    <w:rsid w:val="28C45BC2"/>
    <w:rsid w:val="29405948"/>
    <w:rsid w:val="29E4149B"/>
    <w:rsid w:val="2BA20D10"/>
    <w:rsid w:val="2BAC4B43"/>
    <w:rsid w:val="2BAE111D"/>
    <w:rsid w:val="2BEA1FAD"/>
    <w:rsid w:val="2C7E04AE"/>
    <w:rsid w:val="2C912ADC"/>
    <w:rsid w:val="2DBA6372"/>
    <w:rsid w:val="304510E8"/>
    <w:rsid w:val="3106021B"/>
    <w:rsid w:val="31F90866"/>
    <w:rsid w:val="34FD213D"/>
    <w:rsid w:val="35541AF6"/>
    <w:rsid w:val="355D56CF"/>
    <w:rsid w:val="368F2A60"/>
    <w:rsid w:val="36CF03AD"/>
    <w:rsid w:val="37203817"/>
    <w:rsid w:val="37502912"/>
    <w:rsid w:val="38305C04"/>
    <w:rsid w:val="3AD273C0"/>
    <w:rsid w:val="3BB15227"/>
    <w:rsid w:val="3C02163D"/>
    <w:rsid w:val="3C32449F"/>
    <w:rsid w:val="3CC058F8"/>
    <w:rsid w:val="3DFF1D67"/>
    <w:rsid w:val="3E2A6958"/>
    <w:rsid w:val="410D1874"/>
    <w:rsid w:val="419C5A98"/>
    <w:rsid w:val="41E51071"/>
    <w:rsid w:val="41F10A4E"/>
    <w:rsid w:val="42E6704E"/>
    <w:rsid w:val="44285348"/>
    <w:rsid w:val="446C03CA"/>
    <w:rsid w:val="451952CB"/>
    <w:rsid w:val="453D4441"/>
    <w:rsid w:val="45542B14"/>
    <w:rsid w:val="464C46BC"/>
    <w:rsid w:val="483C7AC7"/>
    <w:rsid w:val="48864D29"/>
    <w:rsid w:val="494B3FD9"/>
    <w:rsid w:val="4A24425D"/>
    <w:rsid w:val="4AE012B5"/>
    <w:rsid w:val="4CEB2A07"/>
    <w:rsid w:val="4E0921D7"/>
    <w:rsid w:val="4E357B68"/>
    <w:rsid w:val="4E711B03"/>
    <w:rsid w:val="4EB866B6"/>
    <w:rsid w:val="5038249C"/>
    <w:rsid w:val="50DC7555"/>
    <w:rsid w:val="512405B2"/>
    <w:rsid w:val="539B0F99"/>
    <w:rsid w:val="542868C6"/>
    <w:rsid w:val="54D547A1"/>
    <w:rsid w:val="55967510"/>
    <w:rsid w:val="564231F4"/>
    <w:rsid w:val="56A6674C"/>
    <w:rsid w:val="56F7071E"/>
    <w:rsid w:val="573268FA"/>
    <w:rsid w:val="5A47277F"/>
    <w:rsid w:val="5A487FC7"/>
    <w:rsid w:val="5B5E37F9"/>
    <w:rsid w:val="5B600943"/>
    <w:rsid w:val="5BED0B62"/>
    <w:rsid w:val="5C351DDB"/>
    <w:rsid w:val="5D982578"/>
    <w:rsid w:val="5DD27EFD"/>
    <w:rsid w:val="5F37579F"/>
    <w:rsid w:val="60730489"/>
    <w:rsid w:val="60815071"/>
    <w:rsid w:val="60D73778"/>
    <w:rsid w:val="63EF1650"/>
    <w:rsid w:val="63F84A67"/>
    <w:rsid w:val="665C629A"/>
    <w:rsid w:val="667C184A"/>
    <w:rsid w:val="67834150"/>
    <w:rsid w:val="69452A48"/>
    <w:rsid w:val="69684E38"/>
    <w:rsid w:val="69F6082C"/>
    <w:rsid w:val="6A95076A"/>
    <w:rsid w:val="6AF43F93"/>
    <w:rsid w:val="6F387FED"/>
    <w:rsid w:val="705A7690"/>
    <w:rsid w:val="70764F3C"/>
    <w:rsid w:val="713A1D59"/>
    <w:rsid w:val="714D5A31"/>
    <w:rsid w:val="71B9729C"/>
    <w:rsid w:val="721B1143"/>
    <w:rsid w:val="73671392"/>
    <w:rsid w:val="737A7FAC"/>
    <w:rsid w:val="73EE4029"/>
    <w:rsid w:val="74633669"/>
    <w:rsid w:val="74FE0FC9"/>
    <w:rsid w:val="76BB4586"/>
    <w:rsid w:val="76CA7DBE"/>
    <w:rsid w:val="76F03798"/>
    <w:rsid w:val="790F0C1E"/>
    <w:rsid w:val="791824FB"/>
    <w:rsid w:val="7ACC1139"/>
    <w:rsid w:val="7D2F5D70"/>
    <w:rsid w:val="7DBA3D00"/>
    <w:rsid w:val="7E57104E"/>
    <w:rsid w:val="7FA245A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szCs w:val="32"/>
      <w:lang w:val="en-US" w:eastAsia="zh-CN" w:bidi="ar-SA"/>
    </w:rPr>
  </w:style>
  <w:style w:type="paragraph" w:styleId="2">
    <w:name w:val="heading 4"/>
    <w:basedOn w:val="1"/>
    <w:next w:val="1"/>
    <w:unhideWhenUsed/>
    <w:qFormat/>
    <w:uiPriority w:val="0"/>
    <w:pPr>
      <w:numPr>
        <w:ilvl w:val="3"/>
        <w:numId w:val="1"/>
      </w:numPr>
      <w:outlineLvl w:val="3"/>
    </w:pPr>
    <w:rPr>
      <w:rFonts w:ascii="方正仿宋_GBK" w:hAnsi="方正仿宋_GBK" w:eastAsia="方正仿宋_GBK"/>
      <w:bCs/>
      <w:sz w:val="32"/>
      <w:szCs w:val="32"/>
      <w:lang w:val="zh-CN"/>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Normal Indent"/>
    <w:basedOn w:val="1"/>
    <w:semiHidden/>
    <w:unhideWhenUsed/>
    <w:qFormat/>
    <w:uiPriority w:val="99"/>
    <w:pPr>
      <w:ind w:firstLine="420" w:firstLineChars="200"/>
    </w:pPr>
  </w:style>
  <w:style w:type="paragraph" w:styleId="4">
    <w:name w:val="Body Text"/>
    <w:basedOn w:val="1"/>
    <w:next w:val="1"/>
    <w:qFormat/>
    <w:uiPriority w:val="0"/>
    <w:rPr>
      <w:rFonts w:eastAsia="仿宋_GB2312"/>
      <w:szCs w:val="24"/>
    </w:rPr>
  </w:style>
  <w:style w:type="paragraph" w:styleId="5">
    <w:name w:val="footer"/>
    <w:basedOn w:val="1"/>
    <w:link w:val="12"/>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8">
    <w:name w:val="Body Text First Indent"/>
    <w:basedOn w:val="4"/>
    <w:qFormat/>
    <w:uiPriority w:val="0"/>
    <w:pPr>
      <w:spacing w:after="160"/>
      <w:ind w:firstLine="420" w:firstLineChars="100"/>
    </w:pPr>
  </w:style>
  <w:style w:type="character" w:customStyle="1" w:styleId="11">
    <w:name w:val="页眉 Char"/>
    <w:basedOn w:val="10"/>
    <w:link w:val="6"/>
    <w:qFormat/>
    <w:uiPriority w:val="99"/>
    <w:rPr>
      <w:sz w:val="18"/>
      <w:szCs w:val="18"/>
    </w:rPr>
  </w:style>
  <w:style w:type="character" w:customStyle="1" w:styleId="12">
    <w:name w:val="页脚 Char"/>
    <w:basedOn w:val="10"/>
    <w:link w:val="5"/>
    <w:qFormat/>
    <w:uiPriority w:val="99"/>
    <w:rPr>
      <w:sz w:val="18"/>
      <w:szCs w:val="18"/>
    </w:rPr>
  </w:style>
  <w:style w:type="paragraph" w:customStyle="1" w:styleId="13">
    <w:name w:val="p17"/>
    <w:basedOn w:val="1"/>
    <w:qFormat/>
    <w:uiPriority w:val="0"/>
    <w:pPr>
      <w:widowControl/>
      <w:snapToGrid w:val="0"/>
      <w:jc w:val="left"/>
    </w:pPr>
    <w:rPr>
      <w:rFonts w:ascii="Times New Roman" w:hAnsi="Times New Roman" w:eastAsia="宋体" w:cs="Times New Roman"/>
      <w:color w:val="000000"/>
      <w:kern w:val="0"/>
      <w:sz w:val="24"/>
      <w:szCs w:val="24"/>
    </w:rPr>
  </w:style>
  <w:style w:type="paragraph" w:customStyle="1" w:styleId="14">
    <w:name w:val="报告正文"/>
    <w:basedOn w:val="8"/>
    <w:qFormat/>
    <w:uiPriority w:val="0"/>
    <w:pPr>
      <w:spacing w:line="360" w:lineRule="auto"/>
      <w:ind w:firstLine="480" w:firstLineChars="200"/>
    </w:pPr>
    <w:rPr>
      <w:rFonts w:ascii="宋体" w:hAnsi="宋体"/>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36</Pages>
  <Words>11532</Words>
  <Characters>12332</Characters>
  <Lines>1</Lines>
  <Paragraphs>1</Paragraphs>
  <TotalTime>29</TotalTime>
  <ScaleCrop>false</ScaleCrop>
  <LinksUpToDate>false</LinksUpToDate>
  <CharactersWithSpaces>12475</CharactersWithSpaces>
  <Application>WPS Office_11.8.2.9093_F1E327BC-269C-435d-A152-05C5408002CA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2024-07-22T02:26:00Z</dcterms:created>
  <dc:creator>hp</dc:creator>
  <cp:lastModifiedBy>地质矿产科</cp:lastModifiedBy>
  <cp:lastPrinted>2025-05-29T09:39:00Z</cp:lastPrinted>
  <dcterms:modified xsi:type="dcterms:W3CDTF">2025-05-29T10:01:47Z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2052-11.8.2.9093</vt:lpwstr>
  </property>
  <property fmtid="{D5CDD505-2E9C-101B-9397-08002B2CF9AE}" pid="3" name="ICV">
    <vt:lpwstr>47DE74D0B6A14A6A821AC148EF3FFEA9_13</vt:lpwstr>
  </property>
  <property fmtid="{D5CDD505-2E9C-101B-9397-08002B2CF9AE}" pid="4" name="KSOTemplateDocerSaveRecord">
    <vt:lpwstr>eyJoZGlkIjoiNTMzZTRiNTZjNmQ4M2JjNGU3YzY0YzFjYzBiOTgxMDIiLCJ1c2VySWQiOiI2MTA2NTY0NTEifQ==</vt:lpwstr>
  </property>
</Properties>
</file>