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jc w:val="center"/>
        <w:rPr>
          <w:rFonts w:ascii="Times New Roman" w:hAnsi="Times New Roman" w:eastAsia="黑体" w:cs="Times New Roman"/>
          <w:sz w:val="40"/>
          <w:szCs w:val="40"/>
        </w:rPr>
      </w:pPr>
      <w:r>
        <w:rPr>
          <w:rFonts w:hint="eastAsia" w:ascii="Times New Roman" w:hAnsi="Times New Roman" w:eastAsia="黑体" w:cs="Times New Roman"/>
          <w:sz w:val="40"/>
          <w:szCs w:val="40"/>
        </w:rPr>
        <w:t>重庆市北碚区城南新区温泉2井地热</w:t>
      </w:r>
      <w:r>
        <w:rPr>
          <w:rFonts w:ascii="Times New Roman" w:hAnsi="Times New Roman" w:eastAsia="黑体" w:cs="Times New Roman"/>
          <w:sz w:val="40"/>
          <w:szCs w:val="40"/>
        </w:rPr>
        <w:t>采矿权</w:t>
      </w:r>
      <w:r>
        <w:rPr>
          <w:rFonts w:hint="eastAsia" w:ascii="Times New Roman" w:hAnsi="Times New Roman" w:eastAsia="黑体" w:cs="Times New Roman"/>
          <w:sz w:val="40"/>
          <w:szCs w:val="40"/>
        </w:rPr>
        <w:t>拍卖</w:t>
      </w:r>
      <w:r>
        <w:rPr>
          <w:rFonts w:ascii="Times New Roman" w:hAnsi="Times New Roman" w:eastAsia="黑体" w:cs="Times New Roman"/>
          <w:sz w:val="40"/>
          <w:szCs w:val="40"/>
        </w:rPr>
        <w:t>出让公告</w:t>
      </w:r>
    </w:p>
    <w:p>
      <w:pPr>
        <w:spacing w:before="0" w:after="0"/>
        <w:jc w:val="center"/>
        <w:rPr>
          <w:rFonts w:ascii="Times New Roman" w:hAnsi="Times New Roman" w:eastAsia="黑体" w:cs="Times New Roman"/>
          <w:sz w:val="30"/>
          <w:szCs w:val="30"/>
        </w:rPr>
      </w:pPr>
      <w:r>
        <w:rPr>
          <w:rFonts w:hint="eastAsia" w:ascii="Times New Roman" w:hAnsi="Times New Roman" w:eastAsia="黑体" w:cs="Times New Roman"/>
          <w:sz w:val="30"/>
          <w:szCs w:val="30"/>
        </w:rPr>
        <w:t>渝矿采出字〔2023〕（北碚）3号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根据国家和重庆市的相关规定，</w:t>
      </w:r>
      <w:r>
        <w:rPr>
          <w:rFonts w:hint="default" w:ascii="Times New Roman" w:hAnsi="Times New Roman" w:cs="Times New Roman"/>
          <w:sz w:val="24"/>
          <w:szCs w:val="24"/>
        </w:rPr>
        <w:t>重庆市北碚区规划和自然资源局</w:t>
      </w:r>
      <w:r>
        <w:rPr>
          <w:rFonts w:ascii="Times New Roman" w:hAnsi="Times New Roman" w:cs="Times New Roman"/>
          <w:sz w:val="24"/>
          <w:szCs w:val="24"/>
        </w:rPr>
        <w:t>决定公开</w:t>
      </w:r>
      <w:r>
        <w:rPr>
          <w:rFonts w:hint="eastAsia" w:ascii="Times New Roman" w:hAnsi="Times New Roman" w:cs="Times New Roman"/>
          <w:sz w:val="24"/>
          <w:szCs w:val="24"/>
        </w:rPr>
        <w:t>拍卖</w:t>
      </w:r>
      <w:r>
        <w:rPr>
          <w:rFonts w:ascii="Times New Roman" w:hAnsi="Times New Roman" w:cs="Times New Roman"/>
          <w:sz w:val="24"/>
          <w:szCs w:val="24"/>
        </w:rPr>
        <w:t>出让以下采矿权，并委托</w:t>
      </w:r>
      <w:r>
        <w:rPr>
          <w:rFonts w:hint="eastAsia" w:ascii="Times New Roman" w:hAnsi="Times New Roman" w:cs="Times New Roman"/>
          <w:sz w:val="24"/>
          <w:szCs w:val="24"/>
        </w:rPr>
        <w:t>重庆市公共资源交易中心</w:t>
      </w:r>
      <w:r>
        <w:rPr>
          <w:rFonts w:ascii="Times New Roman" w:hAnsi="Times New Roman" w:cs="Times New Roman"/>
          <w:sz w:val="24"/>
          <w:szCs w:val="24"/>
        </w:rPr>
        <w:t>负责公开出让交易环节的组织实施。现将有关事项公告如下：</w:t>
      </w:r>
    </w:p>
    <w:p>
      <w:pPr>
        <w:spacing w:before="0" w:after="0" w:line="360" w:lineRule="exact"/>
        <w:ind w:firstLine="480" w:firstLineChars="200"/>
        <w:rPr>
          <w:rFonts w:ascii="Times New Roman" w:hAnsi="Times New Roman" w:cs="Times New Roman"/>
          <w:b/>
          <w:sz w:val="24"/>
          <w:szCs w:val="24"/>
        </w:rPr>
      </w:pPr>
      <w:r>
        <w:rPr>
          <w:rFonts w:ascii="Times New Roman" w:hAnsi="Times New Roman" w:cs="Times New Roman"/>
          <w:sz w:val="24"/>
          <w:szCs w:val="24"/>
        </w:rPr>
        <w:t>本次公告同步发布的网站：中华人民共和国自然资源部</w:t>
      </w:r>
      <w:r>
        <w:rPr>
          <w:rFonts w:ascii="Times New Roman" w:hAnsi="Times New Roman" w:cs="Times New Roman"/>
          <w:i/>
          <w:sz w:val="24"/>
          <w:szCs w:val="24"/>
          <w:u w:val="single"/>
        </w:rPr>
        <w:t>（https://www.mnr.gov.cn/）</w:t>
      </w:r>
      <w:r>
        <w:rPr>
          <w:rFonts w:ascii="Times New Roman" w:hAnsi="Times New Roman" w:cs="Times New Roman"/>
          <w:sz w:val="24"/>
          <w:szCs w:val="24"/>
        </w:rPr>
        <w:t>、重庆市规划和自然资源局</w:t>
      </w:r>
      <w:r>
        <w:rPr>
          <w:rFonts w:ascii="Times New Roman" w:hAnsi="Times New Roman" w:cs="Times New Roman"/>
          <w:i/>
          <w:sz w:val="24"/>
          <w:szCs w:val="24"/>
          <w:u w:val="single"/>
        </w:rPr>
        <w:t>（http://ghzrzyj.cq.gov.cn）</w:t>
      </w:r>
      <w:r>
        <w:rPr>
          <w:rFonts w:ascii="Times New Roman" w:hAnsi="Times New Roman" w:cs="Times New Roman"/>
          <w:sz w:val="24"/>
          <w:szCs w:val="24"/>
        </w:rPr>
        <w:t>、</w:t>
      </w:r>
      <w:r>
        <w:rPr>
          <w:rFonts w:hint="eastAsia" w:ascii="Times New Roman" w:hAnsi="Times New Roman" w:cs="Times New Roman"/>
          <w:sz w:val="24"/>
          <w:szCs w:val="24"/>
        </w:rPr>
        <w:t>重庆市公共资源交易中心</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w:t>
      </w:r>
      <w:r>
        <w:rPr>
          <w:rFonts w:ascii="Times New Roman" w:hAnsi="Times New Roman" w:cs="Times New Roman"/>
          <w:i/>
          <w:sz w:val="24"/>
          <w:szCs w:val="24"/>
          <w:u w:val="none"/>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一、基本情况</w:t>
      </w:r>
    </w:p>
    <w:tbl>
      <w:tblPr>
        <w:tblStyle w:val="5"/>
        <w:tblW w:w="13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10"/>
        <w:gridCol w:w="1103"/>
        <w:gridCol w:w="1080"/>
        <w:gridCol w:w="1490"/>
        <w:gridCol w:w="1146"/>
        <w:gridCol w:w="1343"/>
        <w:gridCol w:w="925"/>
        <w:gridCol w:w="1061"/>
        <w:gridCol w:w="851"/>
        <w:gridCol w:w="1134"/>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037" w:type="dxa"/>
            <w:vAlign w:val="center"/>
          </w:tcPr>
          <w:p>
            <w:pPr>
              <w:jc w:val="center"/>
              <w:rPr>
                <w:rFonts w:ascii="Times New Roman" w:hAnsi="Times New Roman" w:cs="Times New Roman"/>
                <w:szCs w:val="21"/>
              </w:rPr>
            </w:pPr>
            <w:r>
              <w:rPr>
                <w:rFonts w:ascii="Times New Roman" w:hAnsi="Times New Roman" w:cs="Times New Roman"/>
                <w:szCs w:val="21"/>
              </w:rPr>
              <w:t>序号</w:t>
            </w:r>
          </w:p>
        </w:tc>
        <w:tc>
          <w:tcPr>
            <w:tcW w:w="1510" w:type="dxa"/>
            <w:vAlign w:val="center"/>
          </w:tcPr>
          <w:p>
            <w:pPr>
              <w:jc w:val="center"/>
              <w:rPr>
                <w:rFonts w:ascii="Times New Roman" w:hAnsi="Times New Roman" w:cs="Times New Roman"/>
                <w:szCs w:val="21"/>
              </w:rPr>
            </w:pPr>
            <w:r>
              <w:rPr>
                <w:rFonts w:ascii="Times New Roman" w:hAnsi="Times New Roman" w:cs="Times New Roman"/>
                <w:szCs w:val="21"/>
              </w:rPr>
              <w:t>采矿权名称</w:t>
            </w:r>
          </w:p>
          <w:p>
            <w:pPr>
              <w:jc w:val="center"/>
              <w:rPr>
                <w:rFonts w:ascii="Times New Roman" w:hAnsi="Times New Roman" w:cs="Times New Roman"/>
                <w:szCs w:val="21"/>
              </w:rPr>
            </w:pPr>
            <w:r>
              <w:rPr>
                <w:rFonts w:ascii="Times New Roman" w:hAnsi="Times New Roman" w:cs="Times New Roman"/>
                <w:szCs w:val="21"/>
              </w:rPr>
              <w:t>（暂定名）</w:t>
            </w:r>
          </w:p>
        </w:tc>
        <w:tc>
          <w:tcPr>
            <w:tcW w:w="1103" w:type="dxa"/>
            <w:vAlign w:val="center"/>
          </w:tcPr>
          <w:p>
            <w:pPr>
              <w:jc w:val="center"/>
              <w:rPr>
                <w:rFonts w:ascii="Times New Roman" w:hAnsi="Times New Roman" w:cs="Times New Roman"/>
                <w:szCs w:val="21"/>
              </w:rPr>
            </w:pPr>
            <w:r>
              <w:rPr>
                <w:rFonts w:ascii="Times New Roman" w:hAnsi="Times New Roman" w:cs="Times New Roman"/>
                <w:szCs w:val="21"/>
              </w:rPr>
              <w:t>地理位置</w:t>
            </w:r>
          </w:p>
        </w:tc>
        <w:tc>
          <w:tcPr>
            <w:tcW w:w="1080" w:type="dxa"/>
            <w:vAlign w:val="center"/>
          </w:tcPr>
          <w:p>
            <w:pPr>
              <w:jc w:val="center"/>
              <w:rPr>
                <w:rFonts w:ascii="Times New Roman" w:hAnsi="Times New Roman" w:cs="Times New Roman"/>
                <w:szCs w:val="21"/>
              </w:rPr>
            </w:pPr>
            <w:r>
              <w:rPr>
                <w:rFonts w:ascii="Times New Roman" w:hAnsi="Times New Roman" w:cs="Times New Roman"/>
                <w:szCs w:val="21"/>
              </w:rPr>
              <w:t>矿种</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矿区范围</w:t>
            </w:r>
          </w:p>
          <w:p>
            <w:pPr>
              <w:jc w:val="center"/>
              <w:rPr>
                <w:rFonts w:ascii="Times New Roman" w:hAnsi="Times New Roman" w:cs="Times New Roman"/>
                <w:szCs w:val="21"/>
              </w:rPr>
            </w:pPr>
            <w:r>
              <w:rPr>
                <w:rFonts w:ascii="Times New Roman" w:hAnsi="Times New Roman" w:cs="Times New Roman"/>
                <w:szCs w:val="21"/>
              </w:rPr>
              <w:t>拐点坐标</w:t>
            </w:r>
          </w:p>
        </w:tc>
        <w:tc>
          <w:tcPr>
            <w:tcW w:w="1146" w:type="dxa"/>
            <w:vAlign w:val="center"/>
          </w:tcPr>
          <w:p>
            <w:pPr>
              <w:jc w:val="center"/>
              <w:rPr>
                <w:rFonts w:ascii="Times New Roman" w:hAnsi="Times New Roman" w:cs="Times New Roman"/>
                <w:szCs w:val="21"/>
              </w:rPr>
            </w:pPr>
            <w:r>
              <w:rPr>
                <w:rFonts w:ascii="Times New Roman" w:hAnsi="Times New Roman" w:cs="Times New Roman"/>
                <w:szCs w:val="21"/>
              </w:rPr>
              <w:t>资源储量</w:t>
            </w:r>
          </w:p>
        </w:tc>
        <w:tc>
          <w:tcPr>
            <w:tcW w:w="1343" w:type="dxa"/>
            <w:vAlign w:val="center"/>
          </w:tcPr>
          <w:p>
            <w:pPr>
              <w:jc w:val="center"/>
              <w:rPr>
                <w:rFonts w:ascii="Times New Roman" w:hAnsi="Times New Roman" w:cs="Times New Roman"/>
                <w:szCs w:val="21"/>
              </w:rPr>
            </w:pPr>
            <w:r>
              <w:rPr>
                <w:rFonts w:ascii="Times New Roman" w:hAnsi="Times New Roman" w:cs="Times New Roman"/>
                <w:szCs w:val="21"/>
              </w:rPr>
              <w:t>矿区面积</w:t>
            </w:r>
          </w:p>
          <w:p>
            <w:pPr>
              <w:jc w:val="center"/>
              <w:rPr>
                <w:rFonts w:ascii="Times New Roman" w:hAnsi="Times New Roman" w:cs="Times New Roman"/>
                <w:szCs w:val="21"/>
              </w:rPr>
            </w:pPr>
            <w:r>
              <w:rPr>
                <w:rFonts w:ascii="Times New Roman" w:hAnsi="Times New Roman" w:cs="Times New Roman"/>
                <w:szCs w:val="21"/>
              </w:rPr>
              <w:t>(平方公里)</w:t>
            </w:r>
          </w:p>
        </w:tc>
        <w:tc>
          <w:tcPr>
            <w:tcW w:w="925" w:type="dxa"/>
            <w:vAlign w:val="center"/>
          </w:tcPr>
          <w:p>
            <w:pPr>
              <w:jc w:val="center"/>
              <w:rPr>
                <w:rFonts w:ascii="Times New Roman" w:hAnsi="Times New Roman" w:cs="Times New Roman"/>
                <w:szCs w:val="21"/>
              </w:rPr>
            </w:pPr>
            <w:r>
              <w:rPr>
                <w:rFonts w:ascii="Times New Roman" w:hAnsi="Times New Roman" w:cs="Times New Roman"/>
                <w:szCs w:val="21"/>
              </w:rPr>
              <w:t>开采</w:t>
            </w:r>
          </w:p>
          <w:p>
            <w:pPr>
              <w:jc w:val="center"/>
              <w:rPr>
                <w:rFonts w:ascii="Times New Roman" w:hAnsi="Times New Roman" w:cs="Times New Roman"/>
                <w:szCs w:val="21"/>
              </w:rPr>
            </w:pPr>
            <w:r>
              <w:rPr>
                <w:rFonts w:ascii="Times New Roman" w:hAnsi="Times New Roman" w:cs="Times New Roman"/>
                <w:szCs w:val="21"/>
              </w:rPr>
              <w:t>标高</w:t>
            </w:r>
          </w:p>
        </w:tc>
        <w:tc>
          <w:tcPr>
            <w:tcW w:w="1061" w:type="dxa"/>
            <w:vAlign w:val="center"/>
          </w:tcPr>
          <w:p>
            <w:pPr>
              <w:jc w:val="center"/>
              <w:rPr>
                <w:rFonts w:ascii="Times New Roman" w:hAnsi="Times New Roman" w:cs="Times New Roman"/>
                <w:szCs w:val="21"/>
              </w:rPr>
            </w:pPr>
            <w:r>
              <w:rPr>
                <w:rFonts w:ascii="Times New Roman" w:hAnsi="Times New Roman" w:cs="Times New Roman"/>
                <w:szCs w:val="21"/>
              </w:rPr>
              <w:t>生产</w:t>
            </w:r>
          </w:p>
          <w:p>
            <w:pPr>
              <w:jc w:val="center"/>
              <w:rPr>
                <w:rFonts w:ascii="Times New Roman" w:hAnsi="Times New Roman" w:cs="Times New Roman"/>
                <w:szCs w:val="21"/>
              </w:rPr>
            </w:pPr>
            <w:r>
              <w:rPr>
                <w:rFonts w:ascii="Times New Roman" w:hAnsi="Times New Roman" w:cs="Times New Roman"/>
                <w:szCs w:val="21"/>
              </w:rPr>
              <w:t>规模</w:t>
            </w:r>
          </w:p>
        </w:tc>
        <w:tc>
          <w:tcPr>
            <w:tcW w:w="851" w:type="dxa"/>
            <w:vAlign w:val="center"/>
          </w:tcPr>
          <w:p>
            <w:pPr>
              <w:jc w:val="center"/>
              <w:rPr>
                <w:rFonts w:ascii="Times New Roman" w:hAnsi="Times New Roman" w:cs="Times New Roman"/>
                <w:szCs w:val="21"/>
              </w:rPr>
            </w:pPr>
            <w:r>
              <w:rPr>
                <w:rFonts w:ascii="Times New Roman" w:hAnsi="Times New Roman" w:cs="Times New Roman"/>
                <w:szCs w:val="21"/>
              </w:rPr>
              <w:t>出让年限(年)</w:t>
            </w:r>
          </w:p>
        </w:tc>
        <w:tc>
          <w:tcPr>
            <w:tcW w:w="1134" w:type="dxa"/>
            <w:vAlign w:val="center"/>
          </w:tcPr>
          <w:p>
            <w:pPr>
              <w:jc w:val="center"/>
              <w:rPr>
                <w:rFonts w:ascii="Times New Roman" w:hAnsi="Times New Roman" w:cs="Times New Roman"/>
                <w:szCs w:val="21"/>
              </w:rPr>
            </w:pPr>
            <w:r>
              <w:rPr>
                <w:rFonts w:ascii="Times New Roman" w:hAnsi="Times New Roman" w:cs="Times New Roman"/>
                <w:szCs w:val="21"/>
              </w:rPr>
              <w:t>出让收益起始价</w:t>
            </w:r>
          </w:p>
          <w:p>
            <w:pPr>
              <w:jc w:val="center"/>
              <w:rPr>
                <w:rFonts w:ascii="Times New Roman" w:hAnsi="Times New Roman" w:cs="Times New Roman"/>
                <w:szCs w:val="21"/>
              </w:rPr>
            </w:pPr>
            <w:r>
              <w:rPr>
                <w:rFonts w:ascii="Times New Roman" w:hAnsi="Times New Roman" w:cs="Times New Roman"/>
                <w:szCs w:val="21"/>
              </w:rPr>
              <w:t>（万元）</w:t>
            </w:r>
          </w:p>
        </w:tc>
        <w:tc>
          <w:tcPr>
            <w:tcW w:w="923" w:type="dxa"/>
            <w:vAlign w:val="center"/>
          </w:tcPr>
          <w:p>
            <w:pPr>
              <w:jc w:val="center"/>
              <w:rPr>
                <w:rFonts w:ascii="Times New Roman" w:hAnsi="Times New Roman" w:cs="Times New Roman"/>
                <w:szCs w:val="21"/>
              </w:rPr>
            </w:pPr>
            <w:r>
              <w:rPr>
                <w:rFonts w:ascii="Times New Roman" w:hAnsi="Times New Roman" w:cs="Times New Roman"/>
                <w:szCs w:val="21"/>
              </w:rPr>
              <w:t>保证金金额</w:t>
            </w:r>
          </w:p>
          <w:p>
            <w:pPr>
              <w:jc w:val="center"/>
              <w:rPr>
                <w:rFonts w:ascii="Times New Roman" w:hAnsi="Times New Roman" w:cs="Times New Roman"/>
                <w:szCs w:val="21"/>
              </w:rPr>
            </w:pPr>
            <w:r>
              <w:rPr>
                <w:rFonts w:ascii="Times New Roman" w:hAnsi="Times New Roman" w:cs="Times New Roman"/>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037" w:type="dxa"/>
            <w:vAlign w:val="center"/>
          </w:tcPr>
          <w:p>
            <w:pPr>
              <w:jc w:val="center"/>
              <w:rPr>
                <w:rFonts w:ascii="Times New Roman" w:hAnsi="Times New Roman" w:cs="Times New Roman"/>
                <w:szCs w:val="21"/>
              </w:rPr>
            </w:pPr>
            <w:r>
              <w:rPr>
                <w:rFonts w:hint="eastAsia" w:ascii="Times New Roman" w:hAnsi="Times New Roman" w:cs="Times New Roman"/>
                <w:szCs w:val="21"/>
              </w:rPr>
              <w:t>BBGC202302</w:t>
            </w:r>
          </w:p>
        </w:tc>
        <w:tc>
          <w:tcPr>
            <w:tcW w:w="1510" w:type="dxa"/>
            <w:vAlign w:val="center"/>
          </w:tcPr>
          <w:p>
            <w:pPr>
              <w:jc w:val="center"/>
              <w:rPr>
                <w:rFonts w:ascii="Times New Roman" w:hAnsi="Times New Roman" w:cs="Times New Roman"/>
                <w:szCs w:val="21"/>
              </w:rPr>
            </w:pPr>
            <w:r>
              <w:rPr>
                <w:rFonts w:hint="eastAsia" w:ascii="Times New Roman" w:hAnsi="Times New Roman" w:cs="Times New Roman"/>
                <w:szCs w:val="21"/>
              </w:rPr>
              <w:t>重庆市北碚区城南新区温泉2井地热</w:t>
            </w:r>
          </w:p>
        </w:tc>
        <w:tc>
          <w:tcPr>
            <w:tcW w:w="1103" w:type="dxa"/>
            <w:vAlign w:val="center"/>
          </w:tcPr>
          <w:p>
            <w:pPr>
              <w:jc w:val="center"/>
              <w:rPr>
                <w:rFonts w:ascii="Times New Roman" w:hAnsi="Times New Roman" w:cs="Times New Roman"/>
                <w:szCs w:val="21"/>
              </w:rPr>
            </w:pPr>
            <w:r>
              <w:rPr>
                <w:rFonts w:hint="eastAsia" w:ascii="Times New Roman" w:hAnsi="Times New Roman" w:cs="Times New Roman"/>
                <w:szCs w:val="21"/>
              </w:rPr>
              <w:t>重庆市北碚区北温泉街道</w:t>
            </w:r>
          </w:p>
        </w:tc>
        <w:tc>
          <w:tcPr>
            <w:tcW w:w="1080" w:type="dxa"/>
            <w:vAlign w:val="center"/>
          </w:tcPr>
          <w:p>
            <w:pPr>
              <w:jc w:val="center"/>
              <w:rPr>
                <w:rFonts w:ascii="Times New Roman" w:hAnsi="Times New Roman" w:cs="Times New Roman"/>
                <w:szCs w:val="21"/>
              </w:rPr>
            </w:pPr>
            <w:r>
              <w:rPr>
                <w:rFonts w:hint="eastAsia" w:ascii="Times New Roman" w:hAnsi="Times New Roman" w:cs="Times New Roman"/>
                <w:szCs w:val="21"/>
              </w:rPr>
              <w:t>地热</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详见《</w:t>
            </w:r>
            <w:r>
              <w:rPr>
                <w:rFonts w:hint="eastAsia" w:ascii="Times New Roman" w:hAnsi="Times New Roman" w:cs="Times New Roman"/>
                <w:szCs w:val="21"/>
              </w:rPr>
              <w:t>出让文件</w:t>
            </w:r>
            <w:r>
              <w:rPr>
                <w:rFonts w:ascii="Times New Roman" w:hAnsi="Times New Roman" w:cs="Times New Roman"/>
                <w:szCs w:val="21"/>
              </w:rPr>
              <w:t>》</w:t>
            </w:r>
          </w:p>
        </w:tc>
        <w:tc>
          <w:tcPr>
            <w:tcW w:w="1146" w:type="dxa"/>
            <w:vAlign w:val="center"/>
          </w:tcPr>
          <w:p>
            <w:pPr>
              <w:jc w:val="center"/>
              <w:rPr>
                <w:rFonts w:ascii="Times New Roman" w:hAnsi="Times New Roman" w:cs="Times New Roman"/>
                <w:szCs w:val="21"/>
              </w:rPr>
            </w:pPr>
            <w:r>
              <w:rPr>
                <w:rFonts w:hint="eastAsia" w:ascii="Times New Roman" w:hAnsi="Times New Roman" w:cs="Times New Roman"/>
                <w:szCs w:val="21"/>
              </w:rPr>
              <w:t>109.5万立方米</w:t>
            </w:r>
          </w:p>
        </w:tc>
        <w:tc>
          <w:tcPr>
            <w:tcW w:w="1343" w:type="dxa"/>
            <w:vAlign w:val="center"/>
          </w:tcPr>
          <w:p>
            <w:pPr>
              <w:jc w:val="center"/>
              <w:rPr>
                <w:rFonts w:ascii="Times New Roman" w:hAnsi="Times New Roman" w:cs="Times New Roman"/>
                <w:szCs w:val="21"/>
              </w:rPr>
            </w:pPr>
            <w:r>
              <w:rPr>
                <w:rFonts w:hint="eastAsia" w:ascii="Times New Roman" w:hAnsi="Times New Roman" w:cs="Times New Roman"/>
                <w:szCs w:val="21"/>
              </w:rPr>
              <w:t>0.0287</w:t>
            </w:r>
          </w:p>
        </w:tc>
        <w:tc>
          <w:tcPr>
            <w:tcW w:w="925" w:type="dxa"/>
            <w:vAlign w:val="center"/>
          </w:tcPr>
          <w:p>
            <w:pPr>
              <w:jc w:val="center"/>
              <w:rPr>
                <w:rFonts w:ascii="Times New Roman" w:hAnsi="Times New Roman" w:cs="Times New Roman"/>
                <w:szCs w:val="21"/>
              </w:rPr>
            </w:pPr>
            <w:r>
              <w:rPr>
                <w:rFonts w:hint="eastAsia" w:ascii="Times New Roman" w:hAnsi="Times New Roman" w:cs="Times New Roman"/>
                <w:szCs w:val="21"/>
              </w:rPr>
              <w:t>-1202m米至-1508.68m米</w:t>
            </w:r>
          </w:p>
        </w:tc>
        <w:tc>
          <w:tcPr>
            <w:tcW w:w="1061" w:type="dxa"/>
            <w:vAlign w:val="center"/>
          </w:tcPr>
          <w:p>
            <w:pPr>
              <w:jc w:val="center"/>
              <w:rPr>
                <w:rFonts w:ascii="Times New Roman" w:hAnsi="Times New Roman" w:cs="Times New Roman"/>
                <w:szCs w:val="21"/>
              </w:rPr>
            </w:pPr>
            <w:r>
              <w:rPr>
                <w:rFonts w:hint="eastAsia" w:ascii="Times New Roman" w:hAnsi="Times New Roman" w:cs="Times New Roman"/>
                <w:szCs w:val="21"/>
              </w:rPr>
              <w:t>21.9万立方米/年</w:t>
            </w:r>
          </w:p>
        </w:tc>
        <w:tc>
          <w:tcPr>
            <w:tcW w:w="851" w:type="dxa"/>
            <w:vAlign w:val="center"/>
          </w:tcPr>
          <w:p>
            <w:pPr>
              <w:jc w:val="center"/>
              <w:rPr>
                <w:rFonts w:ascii="Times New Roman" w:hAnsi="Times New Roman" w:cs="Times New Roman"/>
                <w:szCs w:val="21"/>
              </w:rPr>
            </w:pPr>
            <w:r>
              <w:rPr>
                <w:rFonts w:hint="eastAsia" w:ascii="Times New Roman" w:hAnsi="Times New Roman" w:cs="Times New Roman"/>
                <w:szCs w:val="21"/>
              </w:rPr>
              <w:t>5</w:t>
            </w:r>
          </w:p>
        </w:tc>
        <w:tc>
          <w:tcPr>
            <w:tcW w:w="1134" w:type="dxa"/>
            <w:vAlign w:val="center"/>
          </w:tcPr>
          <w:p>
            <w:pPr>
              <w:jc w:val="center"/>
              <w:rPr>
                <w:rFonts w:ascii="Times New Roman" w:hAnsi="Times New Roman" w:cs="Times New Roman"/>
                <w:szCs w:val="21"/>
              </w:rPr>
            </w:pPr>
            <w:r>
              <w:rPr>
                <w:rFonts w:hint="eastAsia" w:ascii="Times New Roman" w:hAnsi="Times New Roman" w:cs="Times New Roman"/>
                <w:szCs w:val="21"/>
              </w:rPr>
              <w:t>0.861</w:t>
            </w:r>
          </w:p>
        </w:tc>
        <w:tc>
          <w:tcPr>
            <w:tcW w:w="923" w:type="dxa"/>
            <w:vAlign w:val="center"/>
          </w:tcPr>
          <w:p>
            <w:pPr>
              <w:jc w:val="center"/>
              <w:rPr>
                <w:rFonts w:ascii="Times New Roman" w:hAnsi="Times New Roman" w:cs="Times New Roman"/>
                <w:szCs w:val="21"/>
              </w:rPr>
            </w:pPr>
            <w:r>
              <w:rPr>
                <w:rFonts w:hint="eastAsia" w:ascii="Times New Roman" w:hAnsi="Times New Roman" w:cs="Times New Roman"/>
                <w:szCs w:val="21"/>
              </w:rPr>
              <w:t>0.861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3603" w:type="dxa"/>
            <w:gridSpan w:val="12"/>
            <w:vAlign w:val="center"/>
          </w:tcPr>
          <w:p>
            <w:pPr>
              <w:jc w:val="left"/>
              <w:rPr>
                <w:rFonts w:ascii="Times New Roman" w:hAnsi="Times New Roman" w:cs="Times New Roman"/>
                <w:szCs w:val="21"/>
              </w:rPr>
            </w:pPr>
            <w:r>
              <w:rPr>
                <w:rFonts w:hint="eastAsia" w:ascii="Times New Roman" w:hAnsi="Times New Roman" w:cs="Times New Roman"/>
                <w:szCs w:val="21"/>
              </w:rPr>
              <w:t>备注：</w:t>
            </w:r>
            <w:r>
              <w:rPr>
                <w:rFonts w:hint="eastAsia" w:ascii="Times New Roman" w:hAnsi="Times New Roman" w:cs="Times New Roman"/>
                <w:i w:val="0"/>
                <w:sz w:val="24"/>
                <w:szCs w:val="24"/>
                <w:u w:val="none"/>
              </w:rPr>
              <w:t xml:space="preserve"> </w:t>
            </w:r>
            <w:r>
              <w:rPr>
                <w:rFonts w:hint="eastAsia" w:ascii="Times New Roman" w:hAnsi="Times New Roman" w:cs="Times New Roman"/>
                <w:i w:val="0"/>
                <w:sz w:val="24"/>
                <w:szCs w:val="24"/>
                <w:u w:val="single"/>
              </w:rPr>
              <w:t xml:space="preserve"> </w:t>
            </w:r>
            <w:r>
              <w:rPr>
                <w:rFonts w:hint="eastAsia" w:ascii="Times New Roman" w:hAnsi="Times New Roman" w:cs="Times New Roman"/>
                <w:i w:val="0"/>
                <w:sz w:val="24"/>
                <w:szCs w:val="24"/>
                <w:u w:val="single"/>
                <w:lang w:val="en-US" w:eastAsia="zh-CN"/>
              </w:rPr>
              <w:t xml:space="preserve">在矿山开采时，按矿业权出让收益率3.6%逐年缴纳采矿权出让收益。  </w:t>
            </w:r>
            <w:r>
              <w:rPr>
                <w:rFonts w:hint="eastAsia" w:ascii="Times New Roman" w:hAnsi="Times New Roman" w:cs="Times New Roman"/>
                <w:i w:val="0"/>
                <w:sz w:val="24"/>
                <w:szCs w:val="24"/>
                <w:u w:val="none"/>
              </w:rPr>
              <w:t xml:space="preserve">              </w:t>
            </w:r>
          </w:p>
        </w:tc>
      </w:tr>
    </w:tbl>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二、出让人：</w:t>
      </w:r>
      <w:r>
        <w:rPr>
          <w:rFonts w:hint="eastAsia" w:ascii="Times New Roman" w:hAnsi="Times New Roman" w:cs="Times New Roman"/>
          <w:b w:val="0"/>
          <w:bCs/>
          <w:sz w:val="24"/>
          <w:szCs w:val="24"/>
        </w:rPr>
        <w:t>重庆市北碚区规划和自然资源局</w:t>
      </w:r>
      <w:r>
        <w:rPr>
          <w:rFonts w:ascii="Times New Roman" w:hAnsi="Times New Roman" w:cs="Times New Roman"/>
          <w:sz w:val="24"/>
          <w:szCs w:val="24"/>
        </w:rPr>
        <w:t>，地址：</w:t>
      </w:r>
      <w:r>
        <w:rPr>
          <w:rFonts w:hint="eastAsia" w:ascii="Times New Roman" w:hAnsi="Times New Roman" w:cs="Times New Roman"/>
          <w:sz w:val="24"/>
          <w:szCs w:val="24"/>
        </w:rPr>
        <w:t>重庆市北碚区北温泉街道卢作孚路555号</w:t>
      </w:r>
      <w:r>
        <w:rPr>
          <w:rFonts w:ascii="Times New Roman" w:hAnsi="Times New Roman" w:cs="Times New Roman"/>
          <w:sz w:val="24"/>
          <w:szCs w:val="24"/>
        </w:rPr>
        <w:t>，联系人：</w:t>
      </w:r>
      <w:r>
        <w:rPr>
          <w:rFonts w:hint="eastAsia" w:ascii="Times New Roman" w:hAnsi="Times New Roman" w:cs="Times New Roman"/>
          <w:sz w:val="24"/>
          <w:szCs w:val="24"/>
        </w:rPr>
        <w:t>韩老师</w:t>
      </w:r>
      <w:r>
        <w:rPr>
          <w:rFonts w:ascii="Times New Roman" w:hAnsi="Times New Roman" w:cs="Times New Roman"/>
          <w:sz w:val="24"/>
          <w:szCs w:val="24"/>
        </w:rPr>
        <w:t>，联系电话：</w:t>
      </w:r>
      <w:r>
        <w:rPr>
          <w:rFonts w:hint="eastAsia" w:ascii="Times New Roman" w:hAnsi="Times New Roman" w:cs="Times New Roman"/>
          <w:sz w:val="24"/>
          <w:szCs w:val="24"/>
        </w:rPr>
        <w:t>68318850</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三、交易平台：</w:t>
      </w:r>
      <w:r>
        <w:rPr>
          <w:rFonts w:hint="eastAsia" w:ascii="Times New Roman" w:hAnsi="Times New Roman" w:cs="Times New Roman"/>
          <w:b w:val="0"/>
          <w:bCs/>
          <w:sz w:val="24"/>
          <w:szCs w:val="24"/>
        </w:rPr>
        <w:t>重庆市公共资源交易中心</w:t>
      </w:r>
      <w:r>
        <w:rPr>
          <w:rFonts w:ascii="Times New Roman" w:hAnsi="Times New Roman" w:cs="Times New Roman"/>
          <w:sz w:val="24"/>
          <w:szCs w:val="24"/>
        </w:rPr>
        <w:t>，地址：</w:t>
      </w:r>
      <w:r>
        <w:rPr>
          <w:rFonts w:hint="eastAsia" w:ascii="Times New Roman" w:hAnsi="Times New Roman" w:cs="Times New Roman"/>
          <w:sz w:val="24"/>
          <w:szCs w:val="24"/>
        </w:rPr>
        <w:t>重庆市渝北区青枫北路6号渝兴广场B9\B10栋</w:t>
      </w:r>
      <w:r>
        <w:rPr>
          <w:rFonts w:ascii="Times New Roman" w:hAnsi="Times New Roman" w:cs="Times New Roman"/>
          <w:sz w:val="24"/>
          <w:szCs w:val="24"/>
        </w:rPr>
        <w:t>，联系人：</w:t>
      </w:r>
      <w:r>
        <w:rPr>
          <w:rFonts w:hint="eastAsia" w:ascii="Times New Roman" w:hAnsi="Times New Roman" w:cs="Times New Roman"/>
          <w:sz w:val="24"/>
          <w:szCs w:val="24"/>
        </w:rPr>
        <w:t>王老师</w:t>
      </w:r>
      <w:r>
        <w:rPr>
          <w:rFonts w:ascii="Times New Roman" w:hAnsi="Times New Roman" w:cs="Times New Roman"/>
          <w:sz w:val="24"/>
          <w:szCs w:val="24"/>
        </w:rPr>
        <w:t>，联系电话：</w:t>
      </w:r>
      <w:r>
        <w:rPr>
          <w:rFonts w:hint="eastAsia" w:ascii="Times New Roman" w:hAnsi="Times New Roman" w:cs="Times New Roman"/>
          <w:sz w:val="24"/>
          <w:szCs w:val="24"/>
        </w:rPr>
        <w:t>63628117</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四、竞买人的资质条件：</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（一）竞买申请人须为营利法人；</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（二）竞买申请人属于以下情形之一的不得参与竞买：</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1.在自然资源部矿业权人勘查开采信息公示系统的“矿业权人异常名录”“矿业权人严重违法名单”内；</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2.通过“信用中国”查询，在自然资源部联合惩戒备忘录或重庆市信用惩戒严重失信主体“黑名单”内限制禁止参与矿业权出让的；</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3.被吊销采矿许可证之日起2年内。</w:t>
      </w:r>
    </w:p>
    <w:p>
      <w:pPr>
        <w:spacing w:before="0" w:after="0" w:line="360" w:lineRule="exact"/>
        <w:ind w:firstLine="480" w:firstLineChars="200"/>
        <w:rPr>
          <w:del w:id="0" w:author="赵国华" w:date="2023-12-08T14:24:57Z"/>
          <w:rFonts w:ascii="Times New Roman" w:hAnsi="Times New Roman" w:cs="Times New Roman"/>
          <w:i/>
          <w:sz w:val="24"/>
          <w:szCs w:val="24"/>
          <w:u w:val="single"/>
        </w:rPr>
      </w:pP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五、出让方式及交易的时间、地点</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出让方式：</w:t>
      </w:r>
      <w:r>
        <w:rPr>
          <w:rFonts w:hint="eastAsia" w:ascii="Times New Roman" w:hAnsi="Times New Roman" w:cs="Times New Roman"/>
          <w:sz w:val="24"/>
          <w:szCs w:val="24"/>
        </w:rPr>
        <w:t>拍卖</w:t>
      </w:r>
      <w:r>
        <w:rPr>
          <w:rFonts w:ascii="Times New Roman" w:hAnsi="Times New Roman" w:cs="Times New Roman"/>
          <w:i w:val="0"/>
          <w:sz w:val="24"/>
          <w:szCs w:val="24"/>
          <w:u w:val="none"/>
        </w:rPr>
        <w:t>出让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公告时间：</w:t>
      </w:r>
      <w:r>
        <w:rPr>
          <w:rFonts w:hint="eastAsia" w:ascii="Times New Roman" w:hAnsi="Times New Roman" w:cs="Times New Roman"/>
          <w:sz w:val="24"/>
          <w:szCs w:val="24"/>
        </w:rPr>
        <w:t>2023年12月08日</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2024年01月05日</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拍卖</w:t>
      </w:r>
      <w:r>
        <w:rPr>
          <w:rFonts w:ascii="Times New Roman" w:hAnsi="Times New Roman" w:cs="Times New Roman"/>
          <w:sz w:val="24"/>
          <w:szCs w:val="24"/>
        </w:rPr>
        <w:t>时间：</w:t>
      </w:r>
      <w:r>
        <w:rPr>
          <w:rFonts w:hint="eastAsia" w:ascii="Times New Roman" w:hAnsi="Times New Roman" w:cs="Times New Roman"/>
          <w:sz w:val="24"/>
          <w:szCs w:val="24"/>
        </w:rPr>
        <w:t>2024年01月08日15时</w:t>
      </w:r>
      <w:r>
        <w:rPr>
          <w:rFonts w:ascii="Times New Roman" w:hAnsi="Times New Roman" w:cs="Times New Roman"/>
          <w:i w:val="0"/>
          <w:sz w:val="24"/>
          <w:szCs w:val="24"/>
          <w:u w:val="none"/>
        </w:rPr>
        <w:t>-</w:t>
      </w:r>
      <w:r>
        <w:rPr>
          <w:rFonts w:hint="eastAsia" w:ascii="Times New Roman" w:hAnsi="Times New Roman" w:cs="Times New Roman"/>
          <w:sz w:val="24"/>
          <w:szCs w:val="24"/>
        </w:rPr>
        <w:t>2024年01月08日17时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地点：</w:t>
      </w:r>
      <w:r>
        <w:rPr>
          <w:rFonts w:hint="eastAsia" w:ascii="Times New Roman" w:hAnsi="Times New Roman" w:cs="Times New Roman"/>
          <w:sz w:val="24"/>
          <w:szCs w:val="24"/>
        </w:rPr>
        <w:t>重庆市公共资源交易中心官网</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六、获取</w:t>
      </w:r>
      <w:r>
        <w:rPr>
          <w:rFonts w:hint="eastAsia" w:ascii="Times New Roman" w:hAnsi="Times New Roman" w:cs="Times New Roman"/>
          <w:b/>
          <w:sz w:val="24"/>
          <w:szCs w:val="24"/>
        </w:rPr>
        <w:t>竞买</w:t>
      </w:r>
      <w:r>
        <w:rPr>
          <w:rFonts w:ascii="Times New Roman" w:hAnsi="Times New Roman" w:cs="Times New Roman"/>
          <w:b/>
          <w:sz w:val="24"/>
          <w:szCs w:val="24"/>
        </w:rPr>
        <w:t>文件的途径和申请报名的起止时间及方式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（一）申请人可在报名期限内到</w:t>
      </w:r>
      <w:r>
        <w:rPr>
          <w:rFonts w:hint="eastAsia" w:ascii="Times New Roman" w:hAnsi="Times New Roman" w:cs="Times New Roman"/>
          <w:sz w:val="24"/>
          <w:szCs w:val="24"/>
        </w:rPr>
        <w:t>重庆市公共资源交易中心</w:t>
      </w:r>
      <w:r>
        <w:rPr>
          <w:rFonts w:ascii="Times New Roman" w:hAnsi="Times New Roman" w:cs="Times New Roman"/>
          <w:sz w:val="24"/>
          <w:szCs w:val="24"/>
        </w:rPr>
        <w:t>领取出让相关资料，也可在报名期限内登录</w:t>
      </w:r>
      <w:r>
        <w:rPr>
          <w:rFonts w:hint="eastAsia" w:ascii="Times New Roman" w:hAnsi="Times New Roman" w:cs="Times New Roman"/>
          <w:sz w:val="24"/>
          <w:szCs w:val="24"/>
        </w:rPr>
        <w:t>重庆市公共资源交易中心</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w:t>
      </w:r>
      <w:r>
        <w:rPr>
          <w:rFonts w:ascii="Times New Roman" w:hAnsi="Times New Roman" w:cs="Times New Roman"/>
          <w:sz w:val="24"/>
          <w:szCs w:val="24"/>
        </w:rPr>
        <w:t>，进入重庆市国有建设用地使用权和矿业权网上交易系统</w:t>
      </w:r>
      <w:r>
        <w:rPr>
          <w:rFonts w:ascii="Times New Roman" w:hAnsi="Times New Roman" w:cs="Times New Roman"/>
          <w:i/>
          <w:sz w:val="24"/>
          <w:szCs w:val="24"/>
          <w:u w:val="single"/>
        </w:rPr>
        <w:t>（网址：https://td.cqggzy.com/）</w:t>
      </w:r>
      <w:r>
        <w:rPr>
          <w:rFonts w:ascii="Times New Roman" w:hAnsi="Times New Roman" w:cs="Times New Roman"/>
          <w:sz w:val="24"/>
          <w:szCs w:val="24"/>
        </w:rPr>
        <w:t>，查阅、下载出让资料。</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（二）报名时限：</w:t>
      </w:r>
      <w:r>
        <w:rPr>
          <w:rFonts w:hint="eastAsia" w:ascii="Times New Roman" w:hAnsi="Times New Roman" w:cs="Times New Roman"/>
          <w:sz w:val="24"/>
          <w:szCs w:val="24"/>
        </w:rPr>
        <w:t>2023年12月08日15时</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2024年01月05日15时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（三）报名方式和程序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本次公开出让的采矿权采取</w:t>
      </w:r>
      <w:r>
        <w:rPr>
          <w:rFonts w:hint="eastAsia" w:ascii="Times New Roman" w:hAnsi="Times New Roman" w:cs="Times New Roman" w:eastAsiaTheme="minorEastAsia"/>
          <w:snapToGrid/>
          <w:color w:val="auto"/>
          <w:sz w:val="24"/>
          <w:szCs w:val="24"/>
        </w:rPr>
        <w:t>网上报名</w:t>
      </w:r>
      <w:r>
        <w:rPr>
          <w:rFonts w:ascii="Times New Roman" w:hAnsi="Times New Roman" w:cs="Times New Roman"/>
          <w:sz w:val="24"/>
          <w:szCs w:val="24"/>
        </w:rPr>
        <w:t>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现场报名：申请人可于报名期限内足额交纳竞买保证金到指定账户，并持报名资料到</w:t>
      </w:r>
      <w:r>
        <w:rPr>
          <w:rFonts w:hint="eastAsia" w:ascii="Times New Roman" w:hAnsi="Times New Roman" w:cs="Times New Roman"/>
          <w:sz w:val="24"/>
          <w:szCs w:val="24"/>
        </w:rPr>
        <w:t>重庆市公共资源交易中心</w:t>
      </w:r>
      <w:r>
        <w:rPr>
          <w:rFonts w:ascii="Times New Roman" w:hAnsi="Times New Roman" w:cs="Times New Roman"/>
          <w:sz w:val="24"/>
          <w:szCs w:val="24"/>
        </w:rPr>
        <w:t>提交报名申请。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网上报名：申请人可于报名期限内登录重庆市国有建设用地使用权和矿业权网上交易系统，按规定提交竞买申请，在报名期限内足额交纳竞买保证金，提交报名资料电子档。</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（四）保证金的交纳详见《</w:t>
      </w:r>
      <w:r>
        <w:rPr>
          <w:rFonts w:hint="eastAsia" w:ascii="Times New Roman" w:hAnsi="Times New Roman" w:cs="Times New Roman"/>
          <w:sz w:val="24"/>
          <w:szCs w:val="24"/>
        </w:rPr>
        <w:t>出让文件</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七、确定竞得人的标准和方法</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w:t>
      </w:r>
      <w:r>
        <w:rPr>
          <w:rFonts w:hint="eastAsia" w:ascii="Times New Roman" w:hAnsi="Times New Roman" w:cs="Times New Roman"/>
          <w:sz w:val="24"/>
          <w:szCs w:val="24"/>
        </w:rPr>
        <w:t>拍卖</w:t>
      </w:r>
      <w:r>
        <w:rPr>
          <w:rFonts w:ascii="Times New Roman" w:hAnsi="Times New Roman" w:cs="Times New Roman"/>
          <w:sz w:val="24"/>
          <w:szCs w:val="24"/>
        </w:rPr>
        <w:t>出让为无底价，采用增价</w:t>
      </w:r>
      <w:r>
        <w:rPr>
          <w:rFonts w:hint="eastAsia" w:ascii="Times New Roman" w:hAnsi="Times New Roman" w:cs="Times New Roman"/>
          <w:sz w:val="24"/>
          <w:szCs w:val="24"/>
        </w:rPr>
        <w:t>竞价</w:t>
      </w:r>
      <w:r>
        <w:rPr>
          <w:rFonts w:ascii="Times New Roman" w:hAnsi="Times New Roman" w:cs="Times New Roman"/>
          <w:sz w:val="24"/>
          <w:szCs w:val="24"/>
        </w:rPr>
        <w:t>的方式，按照价高者得原则确定竞得人。</w:t>
      </w:r>
      <w:r>
        <w:rPr>
          <w:rFonts w:hint="eastAsia" w:ascii="Times New Roman" w:hAnsi="Times New Roman" w:cs="Times New Roman"/>
          <w:sz w:val="24"/>
          <w:szCs w:val="24"/>
        </w:rPr>
        <w:t>拍卖</w:t>
      </w:r>
      <w:r>
        <w:rPr>
          <w:rFonts w:ascii="Times New Roman" w:hAnsi="Times New Roman" w:cs="Times New Roman"/>
          <w:sz w:val="24"/>
          <w:szCs w:val="24"/>
        </w:rPr>
        <w:t>成交后的竞得人按规定即时签订《成交确认书》，成交结果在相关网站公示10个工作日。</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八、风险提示</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（二）有关该宗采矿权的用地、用水、用电、公路、环保、基础设施等工作，由竞得人自行负责解决并依法完善相关手续；</w:t>
      </w:r>
    </w:p>
    <w:p>
      <w:pPr>
        <w:spacing w:before="0"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（三）若竞得人竞得该宗采矿权后，在办理采矿登记</w:t>
      </w:r>
      <w:r>
        <w:rPr>
          <w:rFonts w:hint="eastAsia" w:ascii="Times New Roman" w:hAnsi="Times New Roman" w:cs="Times New Roman"/>
          <w:kern w:val="0"/>
          <w:sz w:val="24"/>
          <w:szCs w:val="24"/>
        </w:rPr>
        <w:t>前</w:t>
      </w:r>
      <w:r>
        <w:rPr>
          <w:rFonts w:ascii="Times New Roman" w:hAnsi="Times New Roman" w:cs="Times New Roman"/>
          <w:kern w:val="0"/>
          <w:sz w:val="24"/>
          <w:szCs w:val="24"/>
        </w:rPr>
        <w:t>进行安全、环境评价等认定为不适宜开采的，该宗采矿权按不成交处理。</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九、对交易矿业权异议的处理方式</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对本次出让的</w:t>
      </w:r>
      <w:r>
        <w:rPr>
          <w:rFonts w:hint="eastAsia" w:ascii="Times New Roman" w:hAnsi="Times New Roman" w:cs="Times New Roman"/>
          <w:color w:val="222222"/>
          <w:sz w:val="24"/>
          <w:szCs w:val="24"/>
        </w:rPr>
        <w:t>采</w:t>
      </w:r>
      <w:r>
        <w:rPr>
          <w:rFonts w:ascii="Times New Roman" w:hAnsi="Times New Roman" w:cs="Times New Roman"/>
          <w:color w:val="222222"/>
          <w:sz w:val="24"/>
          <w:szCs w:val="24"/>
        </w:rPr>
        <w:t>矿权存有异议的，应在公告期截止前以书面方式向</w:t>
      </w:r>
      <w:r>
        <w:rPr>
          <w:rFonts w:hint="default" w:ascii="Times New Roman" w:hAnsi="Times New Roman" w:cs="Times New Roman"/>
          <w:sz w:val="24"/>
          <w:szCs w:val="24"/>
        </w:rPr>
        <w:t>重庆市北碚区规划和自然资源局</w:t>
      </w:r>
      <w:r>
        <w:rPr>
          <w:rFonts w:ascii="Times New Roman" w:hAnsi="Times New Roman" w:cs="Times New Roman"/>
          <w:color w:val="222222"/>
          <w:sz w:val="24"/>
          <w:szCs w:val="24"/>
        </w:rPr>
        <w:t>提出；对出让交易程序存有异议的，应在</w:t>
      </w:r>
      <w:r>
        <w:rPr>
          <w:rFonts w:hint="eastAsia" w:ascii="Times New Roman" w:hAnsi="Times New Roman" w:cs="Times New Roman"/>
          <w:color w:val="222222"/>
          <w:sz w:val="24"/>
          <w:szCs w:val="24"/>
        </w:rPr>
        <w:t>结果公示</w:t>
      </w:r>
      <w:r>
        <w:rPr>
          <w:rFonts w:ascii="Times New Roman" w:hAnsi="Times New Roman" w:cs="Times New Roman"/>
          <w:color w:val="222222"/>
          <w:sz w:val="24"/>
          <w:szCs w:val="24"/>
        </w:rPr>
        <w:t>期截止前以书面方式向</w:t>
      </w:r>
      <w:r>
        <w:rPr>
          <w:rFonts w:hint="eastAsia" w:ascii="Times New Roman" w:hAnsi="Times New Roman" w:cs="Times New Roman"/>
          <w:color w:val="222222"/>
          <w:sz w:val="24"/>
          <w:szCs w:val="24"/>
        </w:rPr>
        <w:t>重庆市公共资源交易中心</w:t>
      </w:r>
      <w:r>
        <w:rPr>
          <w:rFonts w:ascii="Times New Roman" w:hAnsi="Times New Roman" w:cs="Times New Roman"/>
          <w:color w:val="222222"/>
          <w:sz w:val="24"/>
          <w:szCs w:val="24"/>
        </w:rPr>
        <w:t>提出。</w:t>
      </w:r>
      <w:r>
        <w:rPr>
          <w:rFonts w:ascii="Times New Roman" w:hAnsi="Times New Roman" w:cs="Times New Roman"/>
          <w:kern w:val="0"/>
          <w:sz w:val="24"/>
          <w:szCs w:val="24"/>
        </w:rPr>
        <w:t>根据所提异议的具体情况，按照</w:t>
      </w:r>
      <w:r>
        <w:rPr>
          <w:rFonts w:ascii="Times New Roman" w:hAnsi="Times New Roman" w:cs="Times New Roman"/>
          <w:sz w:val="24"/>
          <w:szCs w:val="24"/>
        </w:rPr>
        <w:t>《</w:t>
      </w:r>
      <w:r>
        <w:rPr>
          <w:rFonts w:hint="eastAsia" w:ascii="Times New Roman" w:hAnsi="Times New Roman" w:cs="Times New Roman"/>
          <w:kern w:val="0"/>
          <w:sz w:val="24"/>
          <w:szCs w:val="24"/>
        </w:rPr>
        <w:t>矿业权出让交易规则</w:t>
      </w:r>
      <w:r>
        <w:rPr>
          <w:rFonts w:ascii="Times New Roman" w:hAnsi="Times New Roman" w:cs="Times New Roman"/>
          <w:sz w:val="24"/>
          <w:szCs w:val="24"/>
        </w:rPr>
        <w:t>》等相关规定进行妥善处置。</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十、违约责任、公共资源交易领域失信联合惩戒相关提示</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（二）</w:t>
      </w:r>
      <w:r>
        <w:rPr>
          <w:rFonts w:hint="eastAsia" w:ascii="Times New Roman" w:hAnsi="Times New Roman" w:cs="Times New Roman"/>
          <w:color w:val="222222"/>
          <w:sz w:val="24"/>
          <w:szCs w:val="24"/>
        </w:rPr>
        <w:t>有下列情形之一的，视为竞买人、竞得人违约，竞得结果无效，并将其列入失信联合惩戒名单并承担相当于竞买保证金的违约金，出让方有权不再签订出让合同或解除合同：</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1.竞买人之间串通报价，损害国家利益、社会公共利益或者他人合法权益的；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2.竞买人弄虚作假，骗取交易资格或竞得的；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3.采取行贿或其他不正当手段竞得的；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4.竞得人逾期不签订或者拒绝签订成交确认书的；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5.竞得人逾期不签订或者拒绝签订出让合同的；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6.其他依法应当认定为违约的情形。</w:t>
      </w:r>
    </w:p>
    <w:p>
      <w:pPr>
        <w:spacing w:before="0" w:after="0" w:line="360" w:lineRule="exact"/>
        <w:ind w:firstLine="480" w:firstLineChars="200"/>
        <w:rPr>
          <w:del w:id="1" w:author="赵国华" w:date="2023-12-08T14:25:10Z"/>
          <w:rFonts w:hint="eastAsia" w:ascii="Times New Roman" w:hAnsi="Times New Roman" w:cs="Times New Roman"/>
          <w:i w:val="0"/>
          <w:color w:val="222222"/>
          <w:sz w:val="24"/>
          <w:szCs w:val="24"/>
          <w:u w:val="none"/>
        </w:rPr>
      </w:pP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十一、其他重要提示</w:t>
      </w:r>
    </w:p>
    <w:p>
      <w:pPr>
        <w:spacing w:before="0" w:after="0" w:line="360" w:lineRule="exact"/>
        <w:ind w:firstLine="480" w:firstLineChars="200"/>
        <w:rPr>
          <w:del w:id="2" w:author="赵国华" w:date="2023-12-08T14:25:18Z"/>
          <w:rFonts w:hint="eastAsia" w:cs="Times New Roman" w:asciiTheme="minorEastAsia" w:hAnsiTheme="minorEastAsia"/>
          <w:kern w:val="0"/>
          <w:sz w:val="24"/>
          <w:szCs w:val="24"/>
        </w:rPr>
      </w:pPr>
      <w:del w:id="3" w:author="赵国华" w:date="2023-12-08T14:25:18Z">
        <w:r>
          <w:rPr>
            <w:rFonts w:hint="eastAsia" w:cs="Times New Roman" w:asciiTheme="minorEastAsia" w:hAnsiTheme="minorEastAsia"/>
            <w:kern w:val="0"/>
            <w:sz w:val="24"/>
            <w:szCs w:val="24"/>
          </w:rPr>
          <w:delText>（一）该采矿权为</w:delText>
        </w:r>
      </w:del>
      <w:del w:id="4" w:author="赵国华" w:date="2023-12-08T14:25:18Z">
        <w:r>
          <w:rPr>
            <w:rFonts w:hint="eastAsia" w:cs="Times New Roman" w:asciiTheme="minorEastAsia" w:hAnsiTheme="minorEastAsia"/>
            <w:kern w:val="0"/>
            <w:sz w:val="24"/>
            <w:szCs w:val="24"/>
            <w:lang w:val="en-US" w:eastAsia="zh-CN"/>
          </w:rPr>
          <w:delText>新建</w:delText>
        </w:r>
      </w:del>
      <w:del w:id="5" w:author="赵国华" w:date="2023-12-08T14:25:18Z">
        <w:r>
          <w:rPr>
            <w:rFonts w:hint="eastAsia" w:cs="Times New Roman" w:asciiTheme="minorEastAsia" w:hAnsiTheme="minorEastAsia"/>
            <w:kern w:val="0"/>
            <w:sz w:val="24"/>
            <w:szCs w:val="24"/>
          </w:rPr>
          <w:delText>矿山。</w:delText>
        </w:r>
      </w:del>
    </w:p>
    <w:p>
      <w:pPr>
        <w:spacing w:before="0" w:after="0" w:line="360" w:lineRule="exact"/>
        <w:ind w:firstLine="480" w:firstLineChars="200"/>
        <w:rPr>
          <w:del w:id="6" w:author="赵国华" w:date="2023-12-08T14:25:18Z"/>
          <w:rFonts w:cs="Times New Roman" w:asciiTheme="minorEastAsia" w:hAnsiTheme="minorEastAsia"/>
          <w:kern w:val="0"/>
          <w:sz w:val="24"/>
          <w:szCs w:val="24"/>
        </w:rPr>
      </w:pPr>
      <w:del w:id="7" w:author="赵国华" w:date="2023-12-08T14:25:18Z">
        <w:r>
          <w:rPr>
            <w:rFonts w:hint="eastAsia" w:cs="Times New Roman" w:asciiTheme="minorEastAsia" w:hAnsiTheme="minorEastAsia"/>
            <w:kern w:val="0"/>
            <w:sz w:val="24"/>
            <w:szCs w:val="24"/>
          </w:rPr>
          <w:delText>（二）</w:delText>
        </w:r>
      </w:del>
      <w:del w:id="8" w:author="赵国华" w:date="2023-12-08T14:25:18Z">
        <w:r>
          <w:rPr>
            <w:rFonts w:cs="Times New Roman" w:asciiTheme="minorEastAsia" w:hAnsiTheme="minorEastAsia"/>
            <w:kern w:val="0"/>
            <w:sz w:val="24"/>
            <w:szCs w:val="24"/>
          </w:rPr>
          <w:delText>竞得人须自行或委托编制矿山地质环境恢复治理和土地复垦方案并通过审查，同时按照《矿山地质环境保护规定》等相关规定履行矿山地质环境保护相关义务。</w:delText>
        </w:r>
      </w:del>
    </w:p>
    <w:p>
      <w:pPr>
        <w:spacing w:before="0" w:after="0" w:line="360" w:lineRule="exact"/>
        <w:ind w:firstLine="480" w:firstLineChars="200"/>
        <w:rPr>
          <w:del w:id="9" w:author="赵国华" w:date="2023-12-08T14:25:19Z"/>
          <w:rFonts w:cs="Times New Roman" w:asciiTheme="minorEastAsia" w:hAnsiTheme="minorEastAsia"/>
          <w:kern w:val="0"/>
          <w:sz w:val="24"/>
          <w:szCs w:val="24"/>
        </w:rPr>
      </w:pPr>
      <w:del w:id="10" w:author="赵国华" w:date="2023-12-08T14:25:18Z">
        <w:r>
          <w:rPr>
            <w:rFonts w:hint="eastAsia" w:cs="Times New Roman" w:asciiTheme="minorEastAsia" w:hAnsiTheme="minorEastAsia"/>
            <w:kern w:val="0"/>
            <w:sz w:val="24"/>
            <w:szCs w:val="24"/>
          </w:rPr>
          <w:delTex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delText>
        </w:r>
      </w:del>
    </w:p>
    <w:p>
      <w:pPr>
        <w:spacing w:before="0" w:after="0" w:line="360" w:lineRule="exact"/>
        <w:ind w:firstLine="480" w:firstLineChars="200"/>
        <w:rPr>
          <w:ins w:id="11" w:author="赵国华" w:date="2023-12-08T14:25:23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（一）该采矿权为新设矿山，根据出让前期报告等资料，矿区范围内预计年生产规模为21.9万</w:t>
      </w:r>
      <w:del w:id="12" w:author="赵国华" w:date="2023-12-08T14:29:44Z">
        <w:r>
          <w:rPr>
            <w:rFonts w:hint="eastAsia" w:cs="Times New Roman" w:asciiTheme="minorEastAsia" w:hAnsiTheme="minorEastAsia"/>
            <w:kern w:val="0"/>
            <w:sz w:val="24"/>
            <w:szCs w:val="24"/>
          </w:rPr>
          <w:delText>万</w:delText>
        </w:r>
      </w:del>
      <w:bookmarkStart w:id="0" w:name="_GoBack"/>
      <w:bookmarkEnd w:id="0"/>
      <w:r>
        <w:rPr>
          <w:rFonts w:hint="eastAsia" w:cs="Times New Roman" w:asciiTheme="minorEastAsia" w:hAnsiTheme="minorEastAsia"/>
          <w:kern w:val="0"/>
          <w:sz w:val="24"/>
          <w:szCs w:val="24"/>
        </w:rPr>
        <w:t xml:space="preserve">立方米。 </w:t>
      </w:r>
    </w:p>
    <w:p>
      <w:pPr>
        <w:spacing w:before="0" w:after="0" w:line="360" w:lineRule="exact"/>
        <w:ind w:firstLine="480" w:firstLineChars="200"/>
        <w:rPr>
          <w:ins w:id="13" w:author="赵国华" w:date="2023-12-08T14:25:25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（二）竞得人须自行或委托编制矿山地质环境</w:t>
      </w:r>
      <w:del w:id="14" w:author="赵国华" w:date="2023-12-08T14:25:36Z">
        <w:r>
          <w:rPr>
            <w:rFonts w:hint="default" w:cs="Times New Roman" w:asciiTheme="minorEastAsia" w:hAnsiTheme="minorEastAsia"/>
            <w:kern w:val="0"/>
            <w:sz w:val="24"/>
            <w:szCs w:val="24"/>
            <w:lang w:val="en-US"/>
          </w:rPr>
          <w:delText>恢复治理</w:delText>
        </w:r>
      </w:del>
      <w:ins w:id="15" w:author="赵国华" w:date="2023-12-08T14:25:36Z">
        <w:r>
          <w:rPr>
            <w:rFonts w:hint="eastAsia" w:cs="Times New Roman" w:asciiTheme="minorEastAsia" w:hAnsiTheme="minorEastAsia"/>
            <w:kern w:val="0"/>
            <w:sz w:val="24"/>
            <w:szCs w:val="24"/>
            <w:lang w:val="en-US" w:eastAsia="zh-CN"/>
          </w:rPr>
          <w:t>保护</w:t>
        </w:r>
      </w:ins>
      <w:r>
        <w:rPr>
          <w:rFonts w:hint="eastAsia" w:cs="Times New Roman" w:asciiTheme="minorEastAsia" w:hAnsiTheme="minorEastAsia"/>
          <w:kern w:val="0"/>
          <w:sz w:val="24"/>
          <w:szCs w:val="24"/>
        </w:rPr>
        <w:t xml:space="preserve">和土地复垦方案并通过审查，同时按照《矿山地质环境保护规定》等相关规定履行矿山地质环境保护相关义务。 </w:t>
      </w:r>
    </w:p>
    <w:p>
      <w:pPr>
        <w:spacing w:before="0" w:after="0" w:line="360" w:lineRule="exact"/>
        <w:ind w:firstLine="480" w:firstLineChars="200"/>
        <w:rPr>
          <w:ins w:id="16" w:author="赵国华" w:date="2023-12-08T14:25:29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del w:id="17" w:author="赵国华" w:date="2023-12-08T14:25:28Z">
        <w:r>
          <w:rPr>
            <w:rFonts w:hint="eastAsia" w:cs="Times New Roman" w:asciiTheme="minorEastAsia" w:hAnsiTheme="minorEastAsia"/>
            <w:kern w:val="0"/>
            <w:sz w:val="24"/>
            <w:szCs w:val="24"/>
          </w:rPr>
          <w:delText xml:space="preserve"> </w:delText>
        </w:r>
      </w:del>
    </w:p>
    <w:p>
      <w:pPr>
        <w:spacing w:before="0" w:after="0" w:line="360" w:lineRule="exact"/>
        <w:ind w:firstLine="480" w:firstLineChars="200"/>
        <w:rPr>
          <w:rFonts w:hint="eastAsia" w:cs="Times New Roman" w:asciiTheme="minorEastAsia" w:hAnsiTheme="minorEastAsia"/>
          <w:i w:val="0"/>
          <w:kern w:val="0"/>
          <w:sz w:val="24"/>
          <w:szCs w:val="24"/>
          <w:u w:val="none"/>
        </w:rPr>
      </w:pPr>
      <w:r>
        <w:rPr>
          <w:rFonts w:hint="eastAsia" w:cs="Times New Roman" w:asciiTheme="minorEastAsia" w:hAnsiTheme="minorEastAsia"/>
          <w:kern w:val="0"/>
          <w:sz w:val="24"/>
          <w:szCs w:val="24"/>
        </w:rPr>
        <w:t>（四）该采矿权井口位于北碚区北温泉街道云山原筑小区内（地块所有权人为重庆海宇置业（集团）有限公司）。</w:t>
      </w:r>
    </w:p>
    <w:p>
      <w:pPr>
        <w:snapToGrid w:val="0"/>
        <w:spacing w:before="0" w:after="0" w:line="600" w:lineRule="exact"/>
        <w:jc w:val="right"/>
        <w:rPr>
          <w:rFonts w:hint="default" w:ascii="Times New Roman" w:hAnsi="Times New Roman" w:cs="Times New Roman"/>
          <w:i w:val="0"/>
          <w:sz w:val="24"/>
          <w:szCs w:val="24"/>
          <w:u w:val="none"/>
        </w:rPr>
      </w:pPr>
      <w:r>
        <w:rPr>
          <w:rFonts w:hint="default" w:ascii="Times New Roman" w:hAnsi="Times New Roman" w:cs="Times New Roman"/>
          <w:sz w:val="24"/>
          <w:szCs w:val="24"/>
        </w:rPr>
        <w:t>重庆市北碚区规划和自然资源局</w:t>
      </w:r>
    </w:p>
    <w:p>
      <w:pPr>
        <w:snapToGrid w:val="0"/>
        <w:spacing w:before="0" w:after="0" w:line="600" w:lineRule="exact"/>
        <w:jc w:val="right"/>
        <w:rPr>
          <w:rFonts w:hint="default" w:ascii="Times New Roman" w:hAnsi="Times New Roman" w:cs="Times New Roman"/>
          <w:i w:val="0"/>
          <w:sz w:val="24"/>
          <w:szCs w:val="24"/>
          <w:u w:val="none"/>
        </w:rPr>
      </w:pPr>
      <w:r>
        <w:rPr>
          <w:rFonts w:hint="eastAsia" w:ascii="Times New Roman" w:hAnsi="Times New Roman" w:cs="Times New Roman"/>
          <w:sz w:val="24"/>
          <w:szCs w:val="24"/>
        </w:rPr>
        <w:t>2023年12月08日</w:t>
      </w:r>
    </w:p>
    <w:sectPr>
      <w:footerReference r:id="rId5" w:type="default"/>
      <w:footerReference r:id="rId6" w:type="even"/>
      <w:pgSz w:w="16838" w:h="11906" w:orient="landscape"/>
      <w:pgMar w:top="1474" w:right="1701" w:bottom="1474" w:left="170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4</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赵国华">
    <w15:presenceInfo w15:providerId="None" w15:userId="赵国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revisionView w:markup="0"/>
  <w:trackRevisions w:val="1"/>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E6"/>
    <w:rsid w:val="00000348"/>
    <w:rsid w:val="000007F6"/>
    <w:rsid w:val="00006FBA"/>
    <w:rsid w:val="00007639"/>
    <w:rsid w:val="00007AED"/>
    <w:rsid w:val="00007B58"/>
    <w:rsid w:val="000111C4"/>
    <w:rsid w:val="0001167B"/>
    <w:rsid w:val="00016451"/>
    <w:rsid w:val="0002099C"/>
    <w:rsid w:val="00023A4B"/>
    <w:rsid w:val="0003690A"/>
    <w:rsid w:val="000369A1"/>
    <w:rsid w:val="00037565"/>
    <w:rsid w:val="00040CE4"/>
    <w:rsid w:val="00041C41"/>
    <w:rsid w:val="000445AD"/>
    <w:rsid w:val="0004781C"/>
    <w:rsid w:val="00050E4A"/>
    <w:rsid w:val="00054463"/>
    <w:rsid w:val="00054770"/>
    <w:rsid w:val="000561BF"/>
    <w:rsid w:val="0007278F"/>
    <w:rsid w:val="00072C08"/>
    <w:rsid w:val="000762CB"/>
    <w:rsid w:val="00080264"/>
    <w:rsid w:val="0008363E"/>
    <w:rsid w:val="000902DC"/>
    <w:rsid w:val="00090C4E"/>
    <w:rsid w:val="00092AEA"/>
    <w:rsid w:val="00092F78"/>
    <w:rsid w:val="000961A9"/>
    <w:rsid w:val="000A5136"/>
    <w:rsid w:val="000A6268"/>
    <w:rsid w:val="000B2203"/>
    <w:rsid w:val="000B6019"/>
    <w:rsid w:val="000C2269"/>
    <w:rsid w:val="000C2CEA"/>
    <w:rsid w:val="000C35EB"/>
    <w:rsid w:val="000C4CC1"/>
    <w:rsid w:val="000C6871"/>
    <w:rsid w:val="000D6CEF"/>
    <w:rsid w:val="000E0293"/>
    <w:rsid w:val="000E249F"/>
    <w:rsid w:val="000E3C8C"/>
    <w:rsid w:val="000E60E9"/>
    <w:rsid w:val="000F0468"/>
    <w:rsid w:val="000F2654"/>
    <w:rsid w:val="000F348F"/>
    <w:rsid w:val="000F6D2A"/>
    <w:rsid w:val="000F7F50"/>
    <w:rsid w:val="0010095F"/>
    <w:rsid w:val="001046AA"/>
    <w:rsid w:val="001057FA"/>
    <w:rsid w:val="00105E82"/>
    <w:rsid w:val="00106817"/>
    <w:rsid w:val="00107E16"/>
    <w:rsid w:val="00110958"/>
    <w:rsid w:val="00111535"/>
    <w:rsid w:val="00112660"/>
    <w:rsid w:val="00120BFE"/>
    <w:rsid w:val="0012287B"/>
    <w:rsid w:val="00126705"/>
    <w:rsid w:val="00135C8B"/>
    <w:rsid w:val="00137731"/>
    <w:rsid w:val="00145D44"/>
    <w:rsid w:val="001475BB"/>
    <w:rsid w:val="001507B0"/>
    <w:rsid w:val="00153C5C"/>
    <w:rsid w:val="00154DE2"/>
    <w:rsid w:val="001555F4"/>
    <w:rsid w:val="001558D4"/>
    <w:rsid w:val="001561AA"/>
    <w:rsid w:val="00166D36"/>
    <w:rsid w:val="001730F6"/>
    <w:rsid w:val="0017521F"/>
    <w:rsid w:val="00177097"/>
    <w:rsid w:val="001774BF"/>
    <w:rsid w:val="00184EEC"/>
    <w:rsid w:val="00186963"/>
    <w:rsid w:val="00191296"/>
    <w:rsid w:val="0019445F"/>
    <w:rsid w:val="001945B4"/>
    <w:rsid w:val="0019742B"/>
    <w:rsid w:val="00197D21"/>
    <w:rsid w:val="001A0D95"/>
    <w:rsid w:val="001A3109"/>
    <w:rsid w:val="001A3DE9"/>
    <w:rsid w:val="001A5BCD"/>
    <w:rsid w:val="001A5DD7"/>
    <w:rsid w:val="001A6219"/>
    <w:rsid w:val="001B74EF"/>
    <w:rsid w:val="001C2D84"/>
    <w:rsid w:val="001C2DCA"/>
    <w:rsid w:val="001C55A5"/>
    <w:rsid w:val="001C68FA"/>
    <w:rsid w:val="001C71A1"/>
    <w:rsid w:val="001C7C6E"/>
    <w:rsid w:val="001D2F8C"/>
    <w:rsid w:val="001E2F45"/>
    <w:rsid w:val="001E789A"/>
    <w:rsid w:val="001E7A57"/>
    <w:rsid w:val="001F7E98"/>
    <w:rsid w:val="00200529"/>
    <w:rsid w:val="00201664"/>
    <w:rsid w:val="00202E28"/>
    <w:rsid w:val="00204448"/>
    <w:rsid w:val="00205310"/>
    <w:rsid w:val="002154C8"/>
    <w:rsid w:val="002171C9"/>
    <w:rsid w:val="0022160B"/>
    <w:rsid w:val="00223B4F"/>
    <w:rsid w:val="002356C2"/>
    <w:rsid w:val="002419FC"/>
    <w:rsid w:val="00241D9A"/>
    <w:rsid w:val="00242A3C"/>
    <w:rsid w:val="002557EB"/>
    <w:rsid w:val="00267EBF"/>
    <w:rsid w:val="00272C11"/>
    <w:rsid w:val="00273E6C"/>
    <w:rsid w:val="002746B6"/>
    <w:rsid w:val="00276707"/>
    <w:rsid w:val="0027749C"/>
    <w:rsid w:val="00280F19"/>
    <w:rsid w:val="00281F95"/>
    <w:rsid w:val="00287FA1"/>
    <w:rsid w:val="00290C54"/>
    <w:rsid w:val="00293B83"/>
    <w:rsid w:val="00294C40"/>
    <w:rsid w:val="00295AF1"/>
    <w:rsid w:val="002A4343"/>
    <w:rsid w:val="002A6252"/>
    <w:rsid w:val="002A78B6"/>
    <w:rsid w:val="002B1302"/>
    <w:rsid w:val="002B35CD"/>
    <w:rsid w:val="002B5006"/>
    <w:rsid w:val="002B5499"/>
    <w:rsid w:val="002B7001"/>
    <w:rsid w:val="002B7C97"/>
    <w:rsid w:val="002B7CA7"/>
    <w:rsid w:val="002C0EBC"/>
    <w:rsid w:val="002C2542"/>
    <w:rsid w:val="002C386C"/>
    <w:rsid w:val="002C4940"/>
    <w:rsid w:val="002C5779"/>
    <w:rsid w:val="002D0530"/>
    <w:rsid w:val="002D5913"/>
    <w:rsid w:val="002D64E6"/>
    <w:rsid w:val="002E28D4"/>
    <w:rsid w:val="002E370A"/>
    <w:rsid w:val="002F3854"/>
    <w:rsid w:val="002F38E3"/>
    <w:rsid w:val="002F481E"/>
    <w:rsid w:val="002F6BD5"/>
    <w:rsid w:val="00307B31"/>
    <w:rsid w:val="00337713"/>
    <w:rsid w:val="00337FDF"/>
    <w:rsid w:val="003401FA"/>
    <w:rsid w:val="003416AA"/>
    <w:rsid w:val="00343D51"/>
    <w:rsid w:val="003461D0"/>
    <w:rsid w:val="00347E8E"/>
    <w:rsid w:val="00353ABC"/>
    <w:rsid w:val="0036348A"/>
    <w:rsid w:val="0036670F"/>
    <w:rsid w:val="0036706E"/>
    <w:rsid w:val="00371629"/>
    <w:rsid w:val="003726FB"/>
    <w:rsid w:val="00373187"/>
    <w:rsid w:val="003772D2"/>
    <w:rsid w:val="003777A5"/>
    <w:rsid w:val="003849FF"/>
    <w:rsid w:val="00387EA2"/>
    <w:rsid w:val="00391B03"/>
    <w:rsid w:val="00396D5C"/>
    <w:rsid w:val="00397D12"/>
    <w:rsid w:val="003A041C"/>
    <w:rsid w:val="003A09CE"/>
    <w:rsid w:val="003A25E1"/>
    <w:rsid w:val="003A33BA"/>
    <w:rsid w:val="003A6F37"/>
    <w:rsid w:val="003B5677"/>
    <w:rsid w:val="003B5F24"/>
    <w:rsid w:val="003C05BB"/>
    <w:rsid w:val="003C2A4A"/>
    <w:rsid w:val="003D1986"/>
    <w:rsid w:val="003D484F"/>
    <w:rsid w:val="003D724B"/>
    <w:rsid w:val="003E02F4"/>
    <w:rsid w:val="003E5534"/>
    <w:rsid w:val="003F006B"/>
    <w:rsid w:val="003F195D"/>
    <w:rsid w:val="00403513"/>
    <w:rsid w:val="0040410E"/>
    <w:rsid w:val="00404DA2"/>
    <w:rsid w:val="00405A53"/>
    <w:rsid w:val="00410184"/>
    <w:rsid w:val="00410EA6"/>
    <w:rsid w:val="00412C2A"/>
    <w:rsid w:val="00413DBC"/>
    <w:rsid w:val="00415DAE"/>
    <w:rsid w:val="0041769F"/>
    <w:rsid w:val="0042321E"/>
    <w:rsid w:val="00423564"/>
    <w:rsid w:val="00430F62"/>
    <w:rsid w:val="00431B9E"/>
    <w:rsid w:val="00432DF1"/>
    <w:rsid w:val="00440152"/>
    <w:rsid w:val="00441C2B"/>
    <w:rsid w:val="00441FA7"/>
    <w:rsid w:val="00450CA2"/>
    <w:rsid w:val="00452C32"/>
    <w:rsid w:val="00455CF9"/>
    <w:rsid w:val="00456779"/>
    <w:rsid w:val="00457B5F"/>
    <w:rsid w:val="00464E95"/>
    <w:rsid w:val="00464F4A"/>
    <w:rsid w:val="0046665D"/>
    <w:rsid w:val="00474801"/>
    <w:rsid w:val="00491CF3"/>
    <w:rsid w:val="00496E8C"/>
    <w:rsid w:val="004A0C3B"/>
    <w:rsid w:val="004A6BAB"/>
    <w:rsid w:val="004B22B6"/>
    <w:rsid w:val="004B2E9F"/>
    <w:rsid w:val="004C23CA"/>
    <w:rsid w:val="004C3852"/>
    <w:rsid w:val="004C5257"/>
    <w:rsid w:val="004C719C"/>
    <w:rsid w:val="004C7738"/>
    <w:rsid w:val="004D09D1"/>
    <w:rsid w:val="004D3202"/>
    <w:rsid w:val="004D3FA2"/>
    <w:rsid w:val="004D4343"/>
    <w:rsid w:val="004D6E26"/>
    <w:rsid w:val="004D6FE6"/>
    <w:rsid w:val="004D7C81"/>
    <w:rsid w:val="004E160B"/>
    <w:rsid w:val="004E1D5C"/>
    <w:rsid w:val="004E3689"/>
    <w:rsid w:val="004F11E3"/>
    <w:rsid w:val="004F1289"/>
    <w:rsid w:val="004F12B6"/>
    <w:rsid w:val="004F1E18"/>
    <w:rsid w:val="004F75DF"/>
    <w:rsid w:val="00504C9F"/>
    <w:rsid w:val="00505F32"/>
    <w:rsid w:val="005131C0"/>
    <w:rsid w:val="00514AF1"/>
    <w:rsid w:val="0051772E"/>
    <w:rsid w:val="005216A5"/>
    <w:rsid w:val="0053068E"/>
    <w:rsid w:val="00530C43"/>
    <w:rsid w:val="00536C8C"/>
    <w:rsid w:val="00540A2E"/>
    <w:rsid w:val="00543E1D"/>
    <w:rsid w:val="00551701"/>
    <w:rsid w:val="00555637"/>
    <w:rsid w:val="0055742F"/>
    <w:rsid w:val="00560483"/>
    <w:rsid w:val="0056437C"/>
    <w:rsid w:val="00566F1D"/>
    <w:rsid w:val="00566F23"/>
    <w:rsid w:val="00567CD6"/>
    <w:rsid w:val="0057591A"/>
    <w:rsid w:val="00576805"/>
    <w:rsid w:val="00577C43"/>
    <w:rsid w:val="00580B13"/>
    <w:rsid w:val="00581E6E"/>
    <w:rsid w:val="005859DB"/>
    <w:rsid w:val="0059050D"/>
    <w:rsid w:val="00593D2A"/>
    <w:rsid w:val="0059745D"/>
    <w:rsid w:val="005A0854"/>
    <w:rsid w:val="005A6C89"/>
    <w:rsid w:val="005A7021"/>
    <w:rsid w:val="005B5CD0"/>
    <w:rsid w:val="005C0C24"/>
    <w:rsid w:val="005C1B38"/>
    <w:rsid w:val="005C3009"/>
    <w:rsid w:val="005C53F1"/>
    <w:rsid w:val="005D4012"/>
    <w:rsid w:val="005D5161"/>
    <w:rsid w:val="005D6F18"/>
    <w:rsid w:val="005E0335"/>
    <w:rsid w:val="005E278B"/>
    <w:rsid w:val="005E693D"/>
    <w:rsid w:val="005F3336"/>
    <w:rsid w:val="005F3F04"/>
    <w:rsid w:val="006027D5"/>
    <w:rsid w:val="00606675"/>
    <w:rsid w:val="0061303E"/>
    <w:rsid w:val="00613578"/>
    <w:rsid w:val="00616D6C"/>
    <w:rsid w:val="006232F1"/>
    <w:rsid w:val="006237B9"/>
    <w:rsid w:val="00632104"/>
    <w:rsid w:val="00634431"/>
    <w:rsid w:val="00640CCA"/>
    <w:rsid w:val="0064270A"/>
    <w:rsid w:val="0064365F"/>
    <w:rsid w:val="00644774"/>
    <w:rsid w:val="006542E2"/>
    <w:rsid w:val="006673A9"/>
    <w:rsid w:val="00667C19"/>
    <w:rsid w:val="00667DF0"/>
    <w:rsid w:val="0067076E"/>
    <w:rsid w:val="00671140"/>
    <w:rsid w:val="00676C79"/>
    <w:rsid w:val="00677440"/>
    <w:rsid w:val="006871A7"/>
    <w:rsid w:val="00687651"/>
    <w:rsid w:val="006908AB"/>
    <w:rsid w:val="00695D68"/>
    <w:rsid w:val="00697004"/>
    <w:rsid w:val="00697DFC"/>
    <w:rsid w:val="006A0D7B"/>
    <w:rsid w:val="006A5F40"/>
    <w:rsid w:val="006B0C38"/>
    <w:rsid w:val="006B648C"/>
    <w:rsid w:val="006C017C"/>
    <w:rsid w:val="006C6898"/>
    <w:rsid w:val="006C6FEC"/>
    <w:rsid w:val="006D1C5E"/>
    <w:rsid w:val="006D26E2"/>
    <w:rsid w:val="006D287B"/>
    <w:rsid w:val="006D5A61"/>
    <w:rsid w:val="006D6094"/>
    <w:rsid w:val="006E2714"/>
    <w:rsid w:val="006E4121"/>
    <w:rsid w:val="006E6BE9"/>
    <w:rsid w:val="006F33D8"/>
    <w:rsid w:val="006F3CEF"/>
    <w:rsid w:val="006F5F9C"/>
    <w:rsid w:val="006F71B8"/>
    <w:rsid w:val="00700429"/>
    <w:rsid w:val="00702E16"/>
    <w:rsid w:val="007061FA"/>
    <w:rsid w:val="00707B53"/>
    <w:rsid w:val="00711BC1"/>
    <w:rsid w:val="007120FA"/>
    <w:rsid w:val="00713133"/>
    <w:rsid w:val="0071315A"/>
    <w:rsid w:val="0072504D"/>
    <w:rsid w:val="0072757C"/>
    <w:rsid w:val="00730980"/>
    <w:rsid w:val="00732368"/>
    <w:rsid w:val="00733AEA"/>
    <w:rsid w:val="007347A6"/>
    <w:rsid w:val="00735E50"/>
    <w:rsid w:val="00740310"/>
    <w:rsid w:val="00742C94"/>
    <w:rsid w:val="00753C6B"/>
    <w:rsid w:val="0076280D"/>
    <w:rsid w:val="00772569"/>
    <w:rsid w:val="007738ED"/>
    <w:rsid w:val="00773F09"/>
    <w:rsid w:val="00782076"/>
    <w:rsid w:val="0078314E"/>
    <w:rsid w:val="0078438A"/>
    <w:rsid w:val="0078664B"/>
    <w:rsid w:val="007868A2"/>
    <w:rsid w:val="00790B19"/>
    <w:rsid w:val="007935E6"/>
    <w:rsid w:val="00794650"/>
    <w:rsid w:val="007971F1"/>
    <w:rsid w:val="007A027C"/>
    <w:rsid w:val="007A4162"/>
    <w:rsid w:val="007A4636"/>
    <w:rsid w:val="007B0C8D"/>
    <w:rsid w:val="007B5CAC"/>
    <w:rsid w:val="007B629A"/>
    <w:rsid w:val="007C0D30"/>
    <w:rsid w:val="007C63B6"/>
    <w:rsid w:val="007D386E"/>
    <w:rsid w:val="007D4516"/>
    <w:rsid w:val="007D4E3F"/>
    <w:rsid w:val="007D58CF"/>
    <w:rsid w:val="007D5A9A"/>
    <w:rsid w:val="007D6685"/>
    <w:rsid w:val="007E02AA"/>
    <w:rsid w:val="007E4B7A"/>
    <w:rsid w:val="007E6CFC"/>
    <w:rsid w:val="007F4EC3"/>
    <w:rsid w:val="007F5E7C"/>
    <w:rsid w:val="007F61BB"/>
    <w:rsid w:val="007F7038"/>
    <w:rsid w:val="00800736"/>
    <w:rsid w:val="008020E4"/>
    <w:rsid w:val="00802F4F"/>
    <w:rsid w:val="0080478B"/>
    <w:rsid w:val="008049D1"/>
    <w:rsid w:val="00806473"/>
    <w:rsid w:val="00812AB9"/>
    <w:rsid w:val="00812C71"/>
    <w:rsid w:val="00814CC2"/>
    <w:rsid w:val="008219BB"/>
    <w:rsid w:val="008247EE"/>
    <w:rsid w:val="00824D14"/>
    <w:rsid w:val="008329F4"/>
    <w:rsid w:val="0083344F"/>
    <w:rsid w:val="00834EE2"/>
    <w:rsid w:val="00841DEE"/>
    <w:rsid w:val="008448AB"/>
    <w:rsid w:val="00846A84"/>
    <w:rsid w:val="0084736B"/>
    <w:rsid w:val="00855C7C"/>
    <w:rsid w:val="00861B72"/>
    <w:rsid w:val="008631AF"/>
    <w:rsid w:val="008672EE"/>
    <w:rsid w:val="0088009A"/>
    <w:rsid w:val="00880AA6"/>
    <w:rsid w:val="008841A7"/>
    <w:rsid w:val="008908E5"/>
    <w:rsid w:val="00890B80"/>
    <w:rsid w:val="00895F03"/>
    <w:rsid w:val="008970A6"/>
    <w:rsid w:val="008972B3"/>
    <w:rsid w:val="008A1838"/>
    <w:rsid w:val="008A38DD"/>
    <w:rsid w:val="008A3E2A"/>
    <w:rsid w:val="008A4BC7"/>
    <w:rsid w:val="008B4527"/>
    <w:rsid w:val="008B4B4C"/>
    <w:rsid w:val="008B7FCD"/>
    <w:rsid w:val="008C1251"/>
    <w:rsid w:val="008C21F2"/>
    <w:rsid w:val="008C3C28"/>
    <w:rsid w:val="008C64E9"/>
    <w:rsid w:val="008D4991"/>
    <w:rsid w:val="008D5471"/>
    <w:rsid w:val="008D5A78"/>
    <w:rsid w:val="008D5DA0"/>
    <w:rsid w:val="008D620B"/>
    <w:rsid w:val="008D78A4"/>
    <w:rsid w:val="008E3BDA"/>
    <w:rsid w:val="008E6F37"/>
    <w:rsid w:val="008F2F82"/>
    <w:rsid w:val="008F3BF2"/>
    <w:rsid w:val="008F4DD5"/>
    <w:rsid w:val="008F5001"/>
    <w:rsid w:val="008F5EA1"/>
    <w:rsid w:val="00900AB3"/>
    <w:rsid w:val="00901679"/>
    <w:rsid w:val="00902262"/>
    <w:rsid w:val="009030D4"/>
    <w:rsid w:val="00905A21"/>
    <w:rsid w:val="00911621"/>
    <w:rsid w:val="0091355C"/>
    <w:rsid w:val="00913A0B"/>
    <w:rsid w:val="009200A5"/>
    <w:rsid w:val="0092564B"/>
    <w:rsid w:val="00926ED0"/>
    <w:rsid w:val="00935EE5"/>
    <w:rsid w:val="009429A0"/>
    <w:rsid w:val="00944E41"/>
    <w:rsid w:val="00945116"/>
    <w:rsid w:val="009467FB"/>
    <w:rsid w:val="00950084"/>
    <w:rsid w:val="00953AEF"/>
    <w:rsid w:val="00954749"/>
    <w:rsid w:val="00956055"/>
    <w:rsid w:val="00956538"/>
    <w:rsid w:val="00960BF6"/>
    <w:rsid w:val="00966BBE"/>
    <w:rsid w:val="00971985"/>
    <w:rsid w:val="00976018"/>
    <w:rsid w:val="00976A18"/>
    <w:rsid w:val="00982236"/>
    <w:rsid w:val="009836EC"/>
    <w:rsid w:val="00984B57"/>
    <w:rsid w:val="00986349"/>
    <w:rsid w:val="009868DA"/>
    <w:rsid w:val="009871C5"/>
    <w:rsid w:val="009906E5"/>
    <w:rsid w:val="009908A7"/>
    <w:rsid w:val="00991BD1"/>
    <w:rsid w:val="00992A9D"/>
    <w:rsid w:val="0099460B"/>
    <w:rsid w:val="0099465D"/>
    <w:rsid w:val="00996976"/>
    <w:rsid w:val="009A47E6"/>
    <w:rsid w:val="009B1057"/>
    <w:rsid w:val="009B1323"/>
    <w:rsid w:val="009C14B9"/>
    <w:rsid w:val="009C206C"/>
    <w:rsid w:val="009C2362"/>
    <w:rsid w:val="009C7665"/>
    <w:rsid w:val="009D4203"/>
    <w:rsid w:val="009E0AE9"/>
    <w:rsid w:val="009E3A22"/>
    <w:rsid w:val="009E4298"/>
    <w:rsid w:val="009E7BC9"/>
    <w:rsid w:val="009E7BEC"/>
    <w:rsid w:val="009F1B88"/>
    <w:rsid w:val="009F3815"/>
    <w:rsid w:val="009F5409"/>
    <w:rsid w:val="00A010B1"/>
    <w:rsid w:val="00A02DD6"/>
    <w:rsid w:val="00A11290"/>
    <w:rsid w:val="00A115A2"/>
    <w:rsid w:val="00A1609F"/>
    <w:rsid w:val="00A17E25"/>
    <w:rsid w:val="00A208D8"/>
    <w:rsid w:val="00A214BD"/>
    <w:rsid w:val="00A23855"/>
    <w:rsid w:val="00A24F6A"/>
    <w:rsid w:val="00A26B65"/>
    <w:rsid w:val="00A32DA7"/>
    <w:rsid w:val="00A33751"/>
    <w:rsid w:val="00A33A0F"/>
    <w:rsid w:val="00A34B56"/>
    <w:rsid w:val="00A3605C"/>
    <w:rsid w:val="00A3758F"/>
    <w:rsid w:val="00A4019C"/>
    <w:rsid w:val="00A42968"/>
    <w:rsid w:val="00A42D5D"/>
    <w:rsid w:val="00A44637"/>
    <w:rsid w:val="00A452E4"/>
    <w:rsid w:val="00A45C13"/>
    <w:rsid w:val="00A5004D"/>
    <w:rsid w:val="00A50CFB"/>
    <w:rsid w:val="00A52626"/>
    <w:rsid w:val="00A531A6"/>
    <w:rsid w:val="00A5544D"/>
    <w:rsid w:val="00A56C60"/>
    <w:rsid w:val="00A601E1"/>
    <w:rsid w:val="00A6087D"/>
    <w:rsid w:val="00A620A3"/>
    <w:rsid w:val="00A64254"/>
    <w:rsid w:val="00A675DD"/>
    <w:rsid w:val="00A70788"/>
    <w:rsid w:val="00A71010"/>
    <w:rsid w:val="00A72BC5"/>
    <w:rsid w:val="00A75D39"/>
    <w:rsid w:val="00A75F3F"/>
    <w:rsid w:val="00A83D3A"/>
    <w:rsid w:val="00A841F8"/>
    <w:rsid w:val="00A8593B"/>
    <w:rsid w:val="00A86CBD"/>
    <w:rsid w:val="00A95E5E"/>
    <w:rsid w:val="00AA2195"/>
    <w:rsid w:val="00AA595F"/>
    <w:rsid w:val="00AA5CE7"/>
    <w:rsid w:val="00AA76B1"/>
    <w:rsid w:val="00AB5103"/>
    <w:rsid w:val="00AB5426"/>
    <w:rsid w:val="00AB6E4B"/>
    <w:rsid w:val="00AB6E94"/>
    <w:rsid w:val="00AC1C67"/>
    <w:rsid w:val="00AC4015"/>
    <w:rsid w:val="00AD2A4C"/>
    <w:rsid w:val="00AD3C49"/>
    <w:rsid w:val="00AD6C6D"/>
    <w:rsid w:val="00AD76E1"/>
    <w:rsid w:val="00AE045D"/>
    <w:rsid w:val="00AE205B"/>
    <w:rsid w:val="00AE33FF"/>
    <w:rsid w:val="00AE3D6C"/>
    <w:rsid w:val="00AF11CF"/>
    <w:rsid w:val="00AF3B23"/>
    <w:rsid w:val="00AF5856"/>
    <w:rsid w:val="00AF6DAE"/>
    <w:rsid w:val="00B003A3"/>
    <w:rsid w:val="00B01CB8"/>
    <w:rsid w:val="00B07661"/>
    <w:rsid w:val="00B10ED0"/>
    <w:rsid w:val="00B11811"/>
    <w:rsid w:val="00B118CE"/>
    <w:rsid w:val="00B2105E"/>
    <w:rsid w:val="00B215FA"/>
    <w:rsid w:val="00B2273A"/>
    <w:rsid w:val="00B25BA6"/>
    <w:rsid w:val="00B375AB"/>
    <w:rsid w:val="00B401E2"/>
    <w:rsid w:val="00B4045F"/>
    <w:rsid w:val="00B43D32"/>
    <w:rsid w:val="00B449CF"/>
    <w:rsid w:val="00B5624F"/>
    <w:rsid w:val="00B624C6"/>
    <w:rsid w:val="00B64D8C"/>
    <w:rsid w:val="00B6520A"/>
    <w:rsid w:val="00B669EF"/>
    <w:rsid w:val="00B71B7B"/>
    <w:rsid w:val="00B72F38"/>
    <w:rsid w:val="00B76838"/>
    <w:rsid w:val="00B83666"/>
    <w:rsid w:val="00B846DC"/>
    <w:rsid w:val="00B85BC8"/>
    <w:rsid w:val="00B90E3C"/>
    <w:rsid w:val="00B9497B"/>
    <w:rsid w:val="00B95FD0"/>
    <w:rsid w:val="00B96B75"/>
    <w:rsid w:val="00BA1976"/>
    <w:rsid w:val="00BA1C78"/>
    <w:rsid w:val="00BA623F"/>
    <w:rsid w:val="00BC502C"/>
    <w:rsid w:val="00BC661A"/>
    <w:rsid w:val="00BD19A0"/>
    <w:rsid w:val="00BD249C"/>
    <w:rsid w:val="00BD32C2"/>
    <w:rsid w:val="00BD6942"/>
    <w:rsid w:val="00BD7C3A"/>
    <w:rsid w:val="00BE2BC2"/>
    <w:rsid w:val="00BE2C31"/>
    <w:rsid w:val="00BE645C"/>
    <w:rsid w:val="00BF04BB"/>
    <w:rsid w:val="00BF0E10"/>
    <w:rsid w:val="00BF5244"/>
    <w:rsid w:val="00BF7FFC"/>
    <w:rsid w:val="00C026B4"/>
    <w:rsid w:val="00C03123"/>
    <w:rsid w:val="00C0348E"/>
    <w:rsid w:val="00C035F8"/>
    <w:rsid w:val="00C03FC0"/>
    <w:rsid w:val="00C05342"/>
    <w:rsid w:val="00C07758"/>
    <w:rsid w:val="00C07E37"/>
    <w:rsid w:val="00C2075C"/>
    <w:rsid w:val="00C21D09"/>
    <w:rsid w:val="00C2309B"/>
    <w:rsid w:val="00C232F5"/>
    <w:rsid w:val="00C24AC0"/>
    <w:rsid w:val="00C24B9B"/>
    <w:rsid w:val="00C333B0"/>
    <w:rsid w:val="00C33BB9"/>
    <w:rsid w:val="00C34900"/>
    <w:rsid w:val="00C34E9E"/>
    <w:rsid w:val="00C36CAC"/>
    <w:rsid w:val="00C471D6"/>
    <w:rsid w:val="00C50B6E"/>
    <w:rsid w:val="00C51D8E"/>
    <w:rsid w:val="00C709F7"/>
    <w:rsid w:val="00C72278"/>
    <w:rsid w:val="00C76E78"/>
    <w:rsid w:val="00C77B56"/>
    <w:rsid w:val="00C81552"/>
    <w:rsid w:val="00C93349"/>
    <w:rsid w:val="00C93571"/>
    <w:rsid w:val="00C93FAB"/>
    <w:rsid w:val="00C953C9"/>
    <w:rsid w:val="00CA2A17"/>
    <w:rsid w:val="00CA30EC"/>
    <w:rsid w:val="00CA56FF"/>
    <w:rsid w:val="00CB175F"/>
    <w:rsid w:val="00CB1BDD"/>
    <w:rsid w:val="00CB6429"/>
    <w:rsid w:val="00CB6596"/>
    <w:rsid w:val="00CB6BAB"/>
    <w:rsid w:val="00CC674F"/>
    <w:rsid w:val="00CD0CF5"/>
    <w:rsid w:val="00CD2CDE"/>
    <w:rsid w:val="00CD3F6D"/>
    <w:rsid w:val="00CE73F1"/>
    <w:rsid w:val="00CF4783"/>
    <w:rsid w:val="00D018AD"/>
    <w:rsid w:val="00D02738"/>
    <w:rsid w:val="00D05066"/>
    <w:rsid w:val="00D106D8"/>
    <w:rsid w:val="00D11899"/>
    <w:rsid w:val="00D1755C"/>
    <w:rsid w:val="00D20C23"/>
    <w:rsid w:val="00D22873"/>
    <w:rsid w:val="00D345E2"/>
    <w:rsid w:val="00D37A44"/>
    <w:rsid w:val="00D40D16"/>
    <w:rsid w:val="00D41F21"/>
    <w:rsid w:val="00D4307E"/>
    <w:rsid w:val="00D43705"/>
    <w:rsid w:val="00D4388C"/>
    <w:rsid w:val="00D45480"/>
    <w:rsid w:val="00D50209"/>
    <w:rsid w:val="00D56D4F"/>
    <w:rsid w:val="00D606EE"/>
    <w:rsid w:val="00D61D09"/>
    <w:rsid w:val="00D705C0"/>
    <w:rsid w:val="00D70E21"/>
    <w:rsid w:val="00D73298"/>
    <w:rsid w:val="00D73ABA"/>
    <w:rsid w:val="00D748AF"/>
    <w:rsid w:val="00D74B58"/>
    <w:rsid w:val="00D75BDB"/>
    <w:rsid w:val="00D81835"/>
    <w:rsid w:val="00D878E4"/>
    <w:rsid w:val="00D94666"/>
    <w:rsid w:val="00DA170D"/>
    <w:rsid w:val="00DB05C2"/>
    <w:rsid w:val="00DB1033"/>
    <w:rsid w:val="00DB2537"/>
    <w:rsid w:val="00DB70B9"/>
    <w:rsid w:val="00DC0CB3"/>
    <w:rsid w:val="00DC1DA8"/>
    <w:rsid w:val="00DC3746"/>
    <w:rsid w:val="00DC797B"/>
    <w:rsid w:val="00DD0B00"/>
    <w:rsid w:val="00DD52CE"/>
    <w:rsid w:val="00DD5510"/>
    <w:rsid w:val="00DD6961"/>
    <w:rsid w:val="00DE06D0"/>
    <w:rsid w:val="00DE1688"/>
    <w:rsid w:val="00DE3B36"/>
    <w:rsid w:val="00DE50FB"/>
    <w:rsid w:val="00DE79BC"/>
    <w:rsid w:val="00DF0D65"/>
    <w:rsid w:val="00DF13C4"/>
    <w:rsid w:val="00DF16A9"/>
    <w:rsid w:val="00DF1C69"/>
    <w:rsid w:val="00DF27F6"/>
    <w:rsid w:val="00DF49C3"/>
    <w:rsid w:val="00DF6D61"/>
    <w:rsid w:val="00E031A6"/>
    <w:rsid w:val="00E03583"/>
    <w:rsid w:val="00E0518B"/>
    <w:rsid w:val="00E10713"/>
    <w:rsid w:val="00E25F14"/>
    <w:rsid w:val="00E30FFA"/>
    <w:rsid w:val="00E31141"/>
    <w:rsid w:val="00E32FA5"/>
    <w:rsid w:val="00E33A0D"/>
    <w:rsid w:val="00E34937"/>
    <w:rsid w:val="00E356D9"/>
    <w:rsid w:val="00E36CBA"/>
    <w:rsid w:val="00E401B7"/>
    <w:rsid w:val="00E412F9"/>
    <w:rsid w:val="00E443F2"/>
    <w:rsid w:val="00E46850"/>
    <w:rsid w:val="00E47971"/>
    <w:rsid w:val="00E47B1E"/>
    <w:rsid w:val="00E51655"/>
    <w:rsid w:val="00E603E8"/>
    <w:rsid w:val="00E6135A"/>
    <w:rsid w:val="00E9201A"/>
    <w:rsid w:val="00E960CF"/>
    <w:rsid w:val="00EA0995"/>
    <w:rsid w:val="00EA33D6"/>
    <w:rsid w:val="00EB0E05"/>
    <w:rsid w:val="00EB2140"/>
    <w:rsid w:val="00EB34B2"/>
    <w:rsid w:val="00EB5C55"/>
    <w:rsid w:val="00ED7CAE"/>
    <w:rsid w:val="00EE14D6"/>
    <w:rsid w:val="00EE28D5"/>
    <w:rsid w:val="00EE4845"/>
    <w:rsid w:val="00EF3210"/>
    <w:rsid w:val="00EF370C"/>
    <w:rsid w:val="00EF3AD4"/>
    <w:rsid w:val="00EF7160"/>
    <w:rsid w:val="00F0224B"/>
    <w:rsid w:val="00F044E0"/>
    <w:rsid w:val="00F070DA"/>
    <w:rsid w:val="00F073E8"/>
    <w:rsid w:val="00F07F09"/>
    <w:rsid w:val="00F130CE"/>
    <w:rsid w:val="00F13796"/>
    <w:rsid w:val="00F15183"/>
    <w:rsid w:val="00F17FE3"/>
    <w:rsid w:val="00F22B1C"/>
    <w:rsid w:val="00F23C4C"/>
    <w:rsid w:val="00F323F5"/>
    <w:rsid w:val="00F34393"/>
    <w:rsid w:val="00F34E1B"/>
    <w:rsid w:val="00F35C0A"/>
    <w:rsid w:val="00F36F8B"/>
    <w:rsid w:val="00F421AD"/>
    <w:rsid w:val="00F42549"/>
    <w:rsid w:val="00F42C2B"/>
    <w:rsid w:val="00F447CB"/>
    <w:rsid w:val="00F508A9"/>
    <w:rsid w:val="00F51924"/>
    <w:rsid w:val="00F53171"/>
    <w:rsid w:val="00F53235"/>
    <w:rsid w:val="00F548A9"/>
    <w:rsid w:val="00F5528E"/>
    <w:rsid w:val="00F57BE2"/>
    <w:rsid w:val="00F57C57"/>
    <w:rsid w:val="00F61029"/>
    <w:rsid w:val="00F625BB"/>
    <w:rsid w:val="00F64EC4"/>
    <w:rsid w:val="00F70577"/>
    <w:rsid w:val="00F7262C"/>
    <w:rsid w:val="00F758AC"/>
    <w:rsid w:val="00F7655C"/>
    <w:rsid w:val="00F80103"/>
    <w:rsid w:val="00F91137"/>
    <w:rsid w:val="00F91752"/>
    <w:rsid w:val="00F91940"/>
    <w:rsid w:val="00F9487A"/>
    <w:rsid w:val="00FA3F2B"/>
    <w:rsid w:val="00FA40F5"/>
    <w:rsid w:val="00FA4BF0"/>
    <w:rsid w:val="00FA65F9"/>
    <w:rsid w:val="00FA770F"/>
    <w:rsid w:val="00FB1CCE"/>
    <w:rsid w:val="00FB47B4"/>
    <w:rsid w:val="00FC40B0"/>
    <w:rsid w:val="00FC53F1"/>
    <w:rsid w:val="00FC5FDD"/>
    <w:rsid w:val="00FD0BF6"/>
    <w:rsid w:val="00FD21A1"/>
    <w:rsid w:val="00FD2937"/>
    <w:rsid w:val="00FD2F0C"/>
    <w:rsid w:val="00FD328D"/>
    <w:rsid w:val="00FD33F7"/>
    <w:rsid w:val="00FD5F59"/>
    <w:rsid w:val="00FD7680"/>
    <w:rsid w:val="00FE11BF"/>
    <w:rsid w:val="00FE4974"/>
    <w:rsid w:val="00FE7EC0"/>
    <w:rsid w:val="00FF07A2"/>
    <w:rsid w:val="00FF0F96"/>
    <w:rsid w:val="00FF31F3"/>
    <w:rsid w:val="01615A3B"/>
    <w:rsid w:val="02C907AD"/>
    <w:rsid w:val="03D42DEF"/>
    <w:rsid w:val="11852864"/>
    <w:rsid w:val="15BE19B4"/>
    <w:rsid w:val="17311C3F"/>
    <w:rsid w:val="19371401"/>
    <w:rsid w:val="1BA70176"/>
    <w:rsid w:val="281D4E84"/>
    <w:rsid w:val="28786409"/>
    <w:rsid w:val="297C451C"/>
    <w:rsid w:val="3CB961A0"/>
    <w:rsid w:val="45E60911"/>
    <w:rsid w:val="461408AE"/>
    <w:rsid w:val="47926284"/>
    <w:rsid w:val="4CF92BE3"/>
    <w:rsid w:val="53232804"/>
    <w:rsid w:val="56D2189D"/>
    <w:rsid w:val="57EA289B"/>
    <w:rsid w:val="5F997E0F"/>
    <w:rsid w:val="60943C16"/>
    <w:rsid w:val="65032D9E"/>
    <w:rsid w:val="6B9A3527"/>
    <w:rsid w:val="6CF10D0E"/>
    <w:rsid w:val="71455DF3"/>
    <w:rsid w:val="78C36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qFormat/>
    <w:uiPriority w:val="22"/>
    <w:rPr>
      <w:b/>
      <w:bCs/>
    </w:rPr>
  </w:style>
  <w:style w:type="character" w:styleId="9">
    <w:name w:val="page number"/>
    <w:basedOn w:val="7"/>
    <w:qFormat/>
    <w:uiPriority w:val="0"/>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table" w:customStyle="1" w:styleId="12">
    <w:name w:val="网格型1"/>
    <w:basedOn w:val="5"/>
    <w:qFormat/>
    <w:uiPriority w:val="5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3">
    <w:name w:val="List Paragraph"/>
    <w:basedOn w:val="1"/>
    <w:qFormat/>
    <w:uiPriority w:val="34"/>
    <w:pPr>
      <w:ind w:firstLine="420" w:firstLineChars="200"/>
    </w:pPr>
  </w:style>
  <w:style w:type="character" w:customStyle="1" w:styleId="14">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利用事务中心</Company>
  <Pages>4</Pages>
  <Words>379</Words>
  <Characters>2164</Characters>
  <Lines>18</Lines>
  <Paragraphs>5</Paragraphs>
  <TotalTime>3</TotalTime>
  <ScaleCrop>false</ScaleCrop>
  <LinksUpToDate>false</LinksUpToDate>
  <CharactersWithSpaces>2538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赵国华</cp:lastModifiedBy>
  <cp:lastPrinted>2023-04-06T06:47:00Z</cp:lastPrinted>
  <dcterms:modified xsi:type="dcterms:W3CDTF">2023-12-08T06:29:46Z</dcterms:modified>
  <cp:revision>797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