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万州区孙家镇新发村二组地热水勘查</w:t>
      </w:r>
      <w:r>
        <w:rPr>
          <w:rFonts w:ascii="Times New Roman" w:hAnsi="Times New Roman" w:eastAsia="方正小标宋_GBK" w:cs="Times New Roman"/>
          <w:sz w:val="28"/>
          <w:szCs w:val="28"/>
        </w:rPr>
        <w:t>探矿权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i w:val="0"/>
          <w:iCs/>
          <w:sz w:val="28"/>
          <w:szCs w:val="28"/>
          <w:u w:val="none"/>
        </w:rPr>
        <w:t>挂牌</w:t>
      </w:r>
      <w:r>
        <w:rPr>
          <w:rFonts w:hint="eastAsia" w:ascii="Times New Roman" w:hAnsi="Times New Roman" w:eastAsia="方正小标宋_GBK" w:cs="Times New Roman"/>
          <w:sz w:val="28"/>
          <w:szCs w:val="28"/>
        </w:rPr>
        <w:t>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i w:val="0"/>
          <w:iCs/>
          <w:szCs w:val="21"/>
          <w:u w:val="none"/>
        </w:rPr>
        <w:t>WZGT202302</w:t>
      </w:r>
      <w:r>
        <w:rPr>
          <w:rFonts w:ascii="Times New Roman" w:hAnsi="Times New Roman" w:eastAsia="宋体" w:cs="Times New Roman"/>
          <w:b/>
          <w:i w:val="0"/>
          <w:iCs/>
          <w:szCs w:val="21"/>
          <w:u w:val="none"/>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w:t>
      </w:r>
      <w:r>
        <w:rPr>
          <w:rFonts w:hint="eastAsia" w:ascii="Times New Roman" w:hAnsi="Times New Roman" w:eastAsia="宋体" w:cs="Times New Roman"/>
          <w:color w:val="auto"/>
          <w:szCs w:val="21"/>
        </w:rPr>
        <w:t>（自然资规〔</w:t>
      </w:r>
      <w:r>
        <w:rPr>
          <w:rFonts w:ascii="Times New Roman" w:hAnsi="Times New Roman" w:eastAsia="宋体" w:cs="Times New Roman"/>
          <w:color w:val="auto"/>
          <w:szCs w:val="21"/>
        </w:rPr>
        <w:t>2023</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号）</w:t>
      </w:r>
      <w:r>
        <w:rPr>
          <w:rFonts w:hint="eastAsia" w:ascii="Times New Roman" w:hAnsi="Times New Roman" w:eastAsia="宋体" w:cs="Times New Roman"/>
          <w:szCs w:val="21"/>
        </w:rPr>
        <w:t>有关规定，</w:t>
      </w:r>
      <w:r>
        <w:rPr>
          <w:rFonts w:hint="eastAsia" w:ascii="Times New Roman" w:hAnsi="Times New Roman" w:eastAsia="宋体" w:cs="Times New Roman"/>
          <w:i w:val="0"/>
          <w:iCs/>
          <w:szCs w:val="21"/>
          <w:u w:val="none"/>
          <w:lang w:val="en-US" w:eastAsia="zh-CN"/>
        </w:rPr>
        <w:t>万州区</w:t>
      </w:r>
      <w:r>
        <w:rPr>
          <w:rFonts w:hint="eastAsia" w:ascii="Times New Roman" w:hAnsi="Times New Roman" w:eastAsia="宋体" w:cs="Times New Roman"/>
          <w:i w:val="0"/>
          <w:iCs/>
          <w:szCs w:val="21"/>
          <w:u w:val="none"/>
        </w:rPr>
        <w:t>规划和自然资源局决定公开挂牌出让以下探矿权，并委托重庆市万州区公共资源交易中心</w:t>
      </w:r>
      <w:r>
        <w:rPr>
          <w:rFonts w:hint="eastAsia"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一、出让探矿权基本情况</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（一）公告时间：</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23</w:t>
      </w:r>
      <w:r>
        <w:rPr>
          <w:rFonts w:hint="eastAsia"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15</w:t>
      </w:r>
      <w:r>
        <w:rPr>
          <w:rFonts w:hint="eastAsia" w:ascii="Times New Roman" w:hAnsi="Times New Roman" w:eastAsia="宋体" w:cs="Times New Roman"/>
          <w:i w:val="0"/>
          <w:iCs/>
          <w:szCs w:val="21"/>
          <w:u w:val="single"/>
        </w:rPr>
        <w:t>日</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24</w:t>
      </w:r>
      <w:r>
        <w:rPr>
          <w:rFonts w:hint="eastAsia"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w:t>
      </w:r>
      <w:r>
        <w:rPr>
          <w:rFonts w:hint="eastAsia"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日</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（二）探矿权名称（暂定名）：</w:t>
      </w:r>
      <w:r>
        <w:rPr>
          <w:rFonts w:hint="eastAsia" w:ascii="Times New Roman" w:hAnsi="Times New Roman" w:eastAsia="宋体" w:cs="Times New Roman"/>
          <w:szCs w:val="21"/>
          <w:u w:val="single"/>
          <w:lang w:val="en-US" w:eastAsia="zh-CN"/>
        </w:rPr>
        <w:t>重庆市</w:t>
      </w:r>
      <w:r>
        <w:rPr>
          <w:rFonts w:hint="eastAsia" w:ascii="Times New Roman" w:hAnsi="Times New Roman" w:eastAsia="宋体" w:cs="Times New Roman"/>
          <w:i w:val="0"/>
          <w:iCs/>
          <w:szCs w:val="21"/>
          <w:u w:val="single"/>
        </w:rPr>
        <w:t>万州区孙家镇新发村二组地热勘查</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（三）地理位置：</w:t>
      </w:r>
      <w:r>
        <w:rPr>
          <w:rFonts w:hint="eastAsia" w:ascii="Times New Roman" w:hAnsi="Times New Roman" w:eastAsia="宋体" w:cs="Times New Roman"/>
          <w:i w:val="0"/>
          <w:iCs/>
          <w:szCs w:val="21"/>
          <w:u w:val="single"/>
        </w:rPr>
        <w:t>万州区孙家镇</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（四）勘查面积：</w:t>
      </w:r>
      <w:r>
        <w:rPr>
          <w:rFonts w:hint="eastAsia" w:ascii="Times New Roman" w:hAnsi="Times New Roman" w:eastAsia="宋体" w:cs="Times New Roman"/>
          <w:i w:val="0"/>
          <w:iCs/>
          <w:szCs w:val="21"/>
          <w:u w:val="single"/>
          <w:lang w:val="en-US" w:eastAsia="zh-CN"/>
        </w:rPr>
        <w:t>0.2438</w:t>
      </w:r>
      <w:r>
        <w:rPr>
          <w:rFonts w:hint="eastAsia" w:ascii="Times New Roman" w:hAnsi="Times New Roman" w:eastAsia="宋体" w:cs="Times New Roman"/>
          <w:szCs w:val="21"/>
          <w:u w:val="single"/>
        </w:rPr>
        <w:t>平方公里</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（五）勘查阶段：</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普查阶段</w:t>
      </w:r>
      <w:r>
        <w:rPr>
          <w:rFonts w:ascii="Times New Roman" w:hAnsi="Times New Roman" w:eastAsia="宋体" w:cs="Times New Roman"/>
          <w:i w:val="0"/>
          <w:iCs/>
          <w:szCs w:val="21"/>
          <w:u w:val="single"/>
        </w:rPr>
        <w:t xml:space="preserve"> </w:t>
      </w:r>
      <w:r>
        <w:rPr>
          <w:rFonts w:ascii="Times New Roman" w:hAnsi="Times New Roman" w:eastAsia="宋体" w:cs="Times New Roman"/>
          <w:i/>
          <w:szCs w:val="21"/>
          <w:u w:val="single"/>
        </w:rPr>
        <w:t xml:space="preserve"> </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（六）勘查矿种：</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地热</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（七）出让年限：</w:t>
      </w:r>
      <w:r>
        <w:rPr>
          <w:rFonts w:ascii="Times New Roman" w:hAnsi="Times New Roman" w:eastAsia="宋体" w:cs="Times New Roman"/>
          <w:i/>
          <w:szCs w:val="21"/>
          <w:u w:val="single"/>
        </w:rPr>
        <w:t xml:space="preserve">   </w:t>
      </w:r>
      <w:r>
        <w:rPr>
          <w:rFonts w:hint="eastAsia" w:ascii="Times New Roman" w:hAnsi="Times New Roman" w:eastAsia="宋体" w:cs="Times New Roman"/>
          <w:i w:val="0"/>
          <w:iCs/>
          <w:szCs w:val="21"/>
          <w:u w:val="single"/>
          <w:lang w:val="en-US" w:eastAsia="zh-CN"/>
        </w:rPr>
        <w:t>5</w:t>
      </w:r>
      <w:r>
        <w:rPr>
          <w:rFonts w:hint="eastAsia" w:ascii="Times New Roman" w:hAnsi="Times New Roman" w:eastAsia="宋体" w:cs="Times New Roman"/>
          <w:szCs w:val="21"/>
          <w:u w:val="single"/>
        </w:rPr>
        <w:t>年</w:t>
      </w:r>
      <w:r>
        <w:rPr>
          <w:rFonts w:hint="eastAsia" w:ascii="Times New Roman" w:hAnsi="Times New Roman" w:eastAsia="宋体" w:cs="Times New Roman"/>
          <w:szCs w:val="21"/>
          <w:u w:val="single"/>
          <w:lang w:eastAsia="zh-CN"/>
        </w:rPr>
        <w:t>（</w:t>
      </w:r>
      <w:r>
        <w:rPr>
          <w:rFonts w:hint="eastAsia" w:ascii="Times New Roman" w:hAnsi="Times New Roman" w:eastAsia="宋体" w:cs="Times New Roman"/>
          <w:szCs w:val="21"/>
          <w:u w:val="single"/>
          <w:lang w:val="en-US" w:eastAsia="zh-CN"/>
        </w:rPr>
        <w:t>首设）</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b/>
          <w:bCs/>
          <w:szCs w:val="21"/>
        </w:rPr>
      </w:pPr>
      <w:r>
        <w:rPr>
          <w:rFonts w:hint="eastAsia" w:ascii="Times New Roman" w:hAnsi="Times New Roman" w:eastAsia="宋体" w:cs="Times New Roman"/>
          <w:szCs w:val="21"/>
        </w:rPr>
        <w:t>（八）出让收益起始价：</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lang w:val="en-US" w:eastAsia="zh-CN"/>
        </w:rPr>
        <w:t>2.44</w:t>
      </w:r>
      <w:r>
        <w:rPr>
          <w:rFonts w:hint="eastAsia" w:ascii="Times New Roman" w:hAnsi="Times New Roman" w:eastAsia="宋体" w:cs="Times New Roman"/>
          <w:szCs w:val="21"/>
          <w:u w:val="single"/>
        </w:rPr>
        <w:t>万元</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（九）勘查范围坐标（</w:t>
      </w:r>
      <w:r>
        <w:rPr>
          <w:rFonts w:ascii="Times New Roman" w:hAnsi="Times New Roman" w:eastAsia="宋体" w:cs="Times New Roman"/>
          <w:szCs w:val="21"/>
        </w:rPr>
        <w:t>2000</w:t>
      </w:r>
      <w:r>
        <w:rPr>
          <w:rFonts w:hint="eastAsia" w:ascii="Times New Roman" w:hAnsi="Times New Roman" w:eastAsia="宋体" w:cs="Times New Roman"/>
          <w:szCs w:val="21"/>
        </w:rPr>
        <w:t>坐标系）：</w:t>
      </w:r>
    </w:p>
    <w:tbl>
      <w:tblPr>
        <w:tblStyle w:val="5"/>
        <w:tblW w:w="7508" w:type="dxa"/>
        <w:jc w:val="center"/>
        <w:tblInd w:w="0" w:type="dxa"/>
        <w:tblLayout w:type="fixed"/>
        <w:tblCellMar>
          <w:top w:w="0" w:type="dxa"/>
          <w:left w:w="108" w:type="dxa"/>
          <w:bottom w:w="0" w:type="dxa"/>
          <w:right w:w="108" w:type="dxa"/>
        </w:tblCellMar>
      </w:tblPr>
      <w:tblGrid>
        <w:gridCol w:w="1320"/>
        <w:gridCol w:w="3070"/>
        <w:gridCol w:w="3118"/>
      </w:tblGrid>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序号</w:t>
            </w:r>
          </w:p>
        </w:tc>
        <w:tc>
          <w:tcPr>
            <w:tcW w:w="3070" w:type="dxa"/>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东经</w:t>
            </w:r>
          </w:p>
        </w:tc>
        <w:tc>
          <w:tcPr>
            <w:tcW w:w="311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北纬</w:t>
            </w:r>
          </w:p>
        </w:tc>
      </w:tr>
      <w:tr>
        <w:tblPrEx>
          <w:tblLayout w:type="fixed"/>
          <w:tblCellMar>
            <w:top w:w="0" w:type="dxa"/>
            <w:left w:w="108" w:type="dxa"/>
            <w:bottom w:w="0" w:type="dxa"/>
            <w:right w:w="108" w:type="dxa"/>
          </w:tblCellMar>
        </w:tblPrEx>
        <w:trPr>
          <w:trHeight w:val="454" w:hRule="exact"/>
          <w:jc w:val="center"/>
        </w:trPr>
        <w:tc>
          <w:tcPr>
            <w:tcW w:w="1320"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3070" w:type="dxa"/>
            <w:tcBorders>
              <w:top w:val="single" w:color="auto" w:sz="4" w:space="0"/>
              <w:left w:val="nil"/>
              <w:bottom w:val="single" w:color="auto"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108°04′08.080″</w:t>
            </w:r>
          </w:p>
        </w:tc>
        <w:tc>
          <w:tcPr>
            <w:tcW w:w="3118"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30°45′02.500″</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30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108°04′02.560″</w:t>
            </w:r>
          </w:p>
        </w:tc>
        <w:tc>
          <w:tcPr>
            <w:tcW w:w="31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30°45′13.800″</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30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108°04′25.160″</w:t>
            </w:r>
          </w:p>
        </w:tc>
        <w:tc>
          <w:tcPr>
            <w:tcW w:w="31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30°45′20.200″</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30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108°04′30.750″</w:t>
            </w:r>
          </w:p>
        </w:tc>
        <w:tc>
          <w:tcPr>
            <w:tcW w:w="31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eastAsia="宋体" w:cs="Times New Roman"/>
                <w:kern w:val="0"/>
                <w:szCs w:val="21"/>
              </w:rPr>
            </w:pPr>
            <w:r>
              <w:rPr>
                <w:rFonts w:hint="default" w:ascii="Times New Roman" w:hAnsi="Times New Roman" w:eastAsia="仿宋_GB2312" w:cs="Times New Roman"/>
                <w:color w:val="auto"/>
                <w:kern w:val="0"/>
                <w:sz w:val="21"/>
                <w:szCs w:val="21"/>
                <w:lang w:val="en-US" w:eastAsia="zh-CN" w:bidi="ar"/>
              </w:rPr>
              <w:t>30°45′08.100″</w:t>
            </w:r>
          </w:p>
        </w:tc>
      </w:tr>
    </w:tbl>
    <w:p>
      <w:pPr>
        <w:spacing w:line="360" w:lineRule="exact"/>
        <w:ind w:firstLine="464" w:firstLineChars="220"/>
        <w:rPr>
          <w:rFonts w:ascii="Times New Roman" w:hAnsi="Times New Roman" w:eastAsia="宋体" w:cs="Times New Roman"/>
          <w:b/>
          <w:bCs/>
          <w:color w:val="auto"/>
          <w:szCs w:val="21"/>
        </w:rPr>
      </w:pPr>
      <w:r>
        <w:rPr>
          <w:rFonts w:hint="eastAsia" w:ascii="Times New Roman" w:hAnsi="Times New Roman" w:eastAsia="宋体" w:cs="Times New Roman"/>
          <w:b/>
          <w:bCs/>
          <w:kern w:val="0"/>
          <w:szCs w:val="21"/>
        </w:rPr>
        <w:t>二、出让人、交易平台联系方式</w:t>
      </w:r>
      <w:r>
        <w:rPr>
          <w:rFonts w:ascii="Times New Roman" w:hAnsi="Times New Roman" w:eastAsia="宋体" w:cs="Times New Roman"/>
          <w:b/>
          <w:bCs/>
          <w:kern w:val="0"/>
          <w:szCs w:val="21"/>
        </w:rPr>
        <w:t xml:space="preserve"> </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（一）出让人</w:t>
      </w:r>
      <w:r>
        <w:rPr>
          <w:rFonts w:ascii="Times New Roman" w:hAnsi="Times New Roman" w:eastAsia="宋体" w:cs="Times New Roman"/>
          <w:kern w:val="0"/>
          <w:szCs w:val="21"/>
        </w:rPr>
        <w:t xml:space="preserve"> </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本宗探矿权出让人为</w:t>
      </w:r>
      <w:r>
        <w:rPr>
          <w:rFonts w:hint="eastAsia" w:ascii="Times New Roman" w:hAnsi="Times New Roman" w:eastAsia="宋体" w:cs="Times New Roman"/>
          <w:kern w:val="0"/>
          <w:szCs w:val="21"/>
          <w:u w:val="single"/>
          <w:lang w:val="en-US" w:eastAsia="zh-CN"/>
        </w:rPr>
        <w:t>重庆市</w:t>
      </w:r>
      <w:r>
        <w:rPr>
          <w:rFonts w:hint="eastAsia" w:ascii="Times New Roman" w:hAnsi="Times New Roman" w:eastAsia="宋体" w:cs="Times New Roman"/>
          <w:i w:val="0"/>
          <w:iCs/>
          <w:szCs w:val="21"/>
          <w:u w:val="single"/>
          <w:lang w:val="en-US" w:eastAsia="zh-CN"/>
        </w:rPr>
        <w:t>万州区</w:t>
      </w:r>
      <w:r>
        <w:rPr>
          <w:rFonts w:hint="eastAsia" w:ascii="Times New Roman" w:hAnsi="Times New Roman" w:eastAsia="宋体" w:cs="Times New Roman"/>
          <w:i w:val="0"/>
          <w:iCs/>
          <w:szCs w:val="21"/>
          <w:u w:val="single"/>
        </w:rPr>
        <w:t>规划和自然资源局</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地址：</w:t>
      </w:r>
      <w:r>
        <w:rPr>
          <w:rFonts w:hint="eastAsia" w:ascii="Times New Roman" w:hAnsi="Times New Roman" w:eastAsia="宋体" w:cs="Times New Roman"/>
          <w:i w:val="0"/>
          <w:iCs/>
          <w:szCs w:val="21"/>
          <w:u w:val="single"/>
        </w:rPr>
        <w:t>重庆市万州区玉龙路144号（江南新区重报万州中心6栋6楼）</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联系人：</w:t>
      </w:r>
      <w:r>
        <w:rPr>
          <w:rFonts w:hint="eastAsia" w:ascii="Times New Roman" w:hAnsi="Times New Roman" w:eastAsia="宋体" w:cs="Times New Roman"/>
          <w:i w:val="0"/>
          <w:iCs/>
          <w:szCs w:val="21"/>
          <w:u w:val="single"/>
        </w:rPr>
        <w:t>张先生</w:t>
      </w:r>
      <w:r>
        <w:rPr>
          <w:rFonts w:hint="eastAsia" w:ascii="Times New Roman" w:hAnsi="Times New Roman" w:eastAsia="宋体" w:cs="Times New Roman"/>
          <w:kern w:val="0"/>
          <w:szCs w:val="21"/>
        </w:rPr>
        <w:t>，联系电话</w:t>
      </w:r>
      <w:r>
        <w:rPr>
          <w:rFonts w:hint="eastAsia" w:ascii="Times New Roman" w:hAnsi="Times New Roman" w:eastAsia="宋体" w:cs="Times New Roman"/>
          <w:i w:val="0"/>
          <w:iCs/>
          <w:szCs w:val="21"/>
          <w:u w:val="single"/>
        </w:rPr>
        <w:t>023-58114089</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（二）交易平台</w:t>
      </w:r>
      <w:r>
        <w:rPr>
          <w:rFonts w:ascii="Times New Roman" w:hAnsi="Times New Roman" w:eastAsia="宋体" w:cs="Times New Roman"/>
          <w:kern w:val="0"/>
          <w:szCs w:val="21"/>
        </w:rPr>
        <w:t xml:space="preserve"> </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本宗探矿权交易平台为</w:t>
      </w:r>
      <w:r>
        <w:rPr>
          <w:rFonts w:hint="eastAsia" w:ascii="Times New Roman" w:hAnsi="Times New Roman" w:eastAsia="宋体" w:cs="Times New Roman"/>
          <w:i w:val="0"/>
          <w:iCs/>
          <w:kern w:val="0"/>
          <w:szCs w:val="21"/>
          <w:u w:val="single"/>
        </w:rPr>
        <w:t>重庆市万州区公共资源交易中心</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地址：</w:t>
      </w:r>
      <w:r>
        <w:rPr>
          <w:rFonts w:hint="eastAsia" w:ascii="Times New Roman" w:hAnsi="Times New Roman" w:eastAsia="宋体" w:cs="Times New Roman"/>
          <w:i w:val="0"/>
          <w:iCs/>
          <w:szCs w:val="21"/>
          <w:u w:val="single"/>
        </w:rPr>
        <w:t>重庆市万州区周家坝天城大道709号闽天会展中心三楼</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联系人：</w:t>
      </w:r>
      <w:r>
        <w:rPr>
          <w:rFonts w:hint="eastAsia" w:ascii="Times New Roman" w:hAnsi="Times New Roman" w:eastAsia="宋体" w:cs="Times New Roman"/>
          <w:i w:val="0"/>
          <w:iCs/>
          <w:szCs w:val="21"/>
          <w:u w:val="single"/>
          <w:lang w:val="en-US" w:eastAsia="zh-CN"/>
        </w:rPr>
        <w:t>郭女士</w:t>
      </w:r>
      <w:r>
        <w:rPr>
          <w:rFonts w:hint="eastAsia" w:ascii="Times New Roman" w:hAnsi="Times New Roman" w:eastAsia="宋体" w:cs="Times New Roman"/>
          <w:kern w:val="0"/>
          <w:szCs w:val="21"/>
        </w:rPr>
        <w:t>，联系电话</w:t>
      </w:r>
      <w:r>
        <w:rPr>
          <w:rFonts w:hint="eastAsia" w:ascii="Times New Roman" w:hAnsi="Times New Roman" w:eastAsia="宋体" w:cs="Times New Roman"/>
          <w:i w:val="0"/>
          <w:iCs/>
          <w:szCs w:val="21"/>
          <w:u w:val="single"/>
        </w:rPr>
        <w:t>023-58332117　58203136（财务科）</w:t>
      </w:r>
      <w:r>
        <w:rPr>
          <w:rFonts w:hint="eastAsia"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三、竞买申请人准入条件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（一）竞买申请人须为依法登记的营利法人或者非营利法人中的事业单位法人；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、在自然资源部矿业权人勘查开采信息公示系统的</w:t>
      </w:r>
      <w:r>
        <w:rPr>
          <w:rFonts w:ascii="Times New Roman" w:hAnsi="Times New Roman" w:eastAsia="宋体" w:cs="Times New Roman"/>
          <w:szCs w:val="21"/>
        </w:rPr>
        <w:t>“</w:t>
      </w:r>
      <w:r>
        <w:rPr>
          <w:rFonts w:hint="eastAsia" w:ascii="Times New Roman" w:hAnsi="Times New Roman" w:eastAsia="宋体" w:cs="Times New Roman"/>
          <w:szCs w:val="21"/>
        </w:rPr>
        <w:t>矿业权人异常名录</w:t>
      </w:r>
      <w:r>
        <w:rPr>
          <w:rFonts w:ascii="Times New Roman" w:hAnsi="Times New Roman" w:eastAsia="宋体" w:cs="Times New Roman"/>
          <w:szCs w:val="21"/>
        </w:rPr>
        <w:t>”“</w:t>
      </w:r>
      <w:r>
        <w:rPr>
          <w:rFonts w:hint="eastAsia" w:ascii="Times New Roman" w:hAnsi="Times New Roman" w:eastAsia="宋体" w:cs="Times New Roman"/>
          <w:szCs w:val="21"/>
        </w:rPr>
        <w:t>矿业权人严重违法名单</w:t>
      </w:r>
      <w:r>
        <w:rPr>
          <w:rFonts w:ascii="Times New Roman" w:hAnsi="Times New Roman" w:eastAsia="宋体" w:cs="Times New Roman"/>
          <w:szCs w:val="21"/>
        </w:rPr>
        <w:t>”</w:t>
      </w:r>
      <w:r>
        <w:rPr>
          <w:rFonts w:hint="eastAsia" w:ascii="Times New Roman" w:hAnsi="Times New Roman" w:eastAsia="宋体" w:cs="Times New Roman"/>
          <w:szCs w:val="21"/>
        </w:rPr>
        <w:t>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通过</w:t>
      </w:r>
      <w:r>
        <w:rPr>
          <w:rFonts w:ascii="Times New Roman" w:hAnsi="Times New Roman" w:eastAsia="宋体" w:cs="Times New Roman"/>
          <w:szCs w:val="21"/>
        </w:rPr>
        <w:t>“</w:t>
      </w:r>
      <w:r>
        <w:rPr>
          <w:rFonts w:hint="eastAsia" w:ascii="Times New Roman" w:hAnsi="Times New Roman" w:eastAsia="宋体" w:cs="Times New Roman"/>
          <w:szCs w:val="21"/>
        </w:rPr>
        <w:t>信用中国</w:t>
      </w:r>
      <w:r>
        <w:rPr>
          <w:rFonts w:ascii="Times New Roman" w:hAnsi="Times New Roman" w:eastAsia="宋体" w:cs="Times New Roman"/>
          <w:szCs w:val="21"/>
        </w:rPr>
        <w:t>”</w:t>
      </w:r>
      <w:r>
        <w:rPr>
          <w:rFonts w:hint="eastAsia" w:ascii="Times New Roman" w:hAnsi="Times New Roman" w:eastAsia="宋体" w:cs="Times New Roman"/>
          <w:szCs w:val="21"/>
        </w:rPr>
        <w:t>查询，在自然资源部联合惩戒备忘录或重庆市信用惩戒严重失信主体</w:t>
      </w:r>
      <w:r>
        <w:rPr>
          <w:rFonts w:ascii="Times New Roman" w:hAnsi="Times New Roman" w:eastAsia="宋体" w:cs="Times New Roman"/>
          <w:szCs w:val="21"/>
        </w:rPr>
        <w:t>“</w:t>
      </w:r>
      <w:r>
        <w:rPr>
          <w:rFonts w:hint="eastAsia" w:ascii="Times New Roman" w:hAnsi="Times New Roman" w:eastAsia="宋体" w:cs="Times New Roman"/>
          <w:szCs w:val="21"/>
        </w:rPr>
        <w:t>黑名单</w:t>
      </w:r>
      <w:r>
        <w:rPr>
          <w:rFonts w:ascii="Times New Roman" w:hAnsi="Times New Roman" w:eastAsia="宋体" w:cs="Times New Roman"/>
          <w:szCs w:val="21"/>
        </w:rPr>
        <w:t>”</w:t>
      </w:r>
      <w:r>
        <w:rPr>
          <w:rFonts w:hint="eastAsia" w:ascii="Times New Roman" w:hAnsi="Times New Roman" w:eastAsia="宋体" w:cs="Times New Roman"/>
          <w:szCs w:val="21"/>
        </w:rPr>
        <w:t>内限制禁止参与矿业权出让的；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被吊销勘查许可证且自吊销之日起未满6个月的。</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四、报名申请</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本次公开出让的探矿权可采取</w:t>
      </w:r>
      <w:r>
        <w:rPr>
          <w:rFonts w:hint="eastAsia" w:ascii="Times New Roman" w:hAnsi="Times New Roman" w:eastAsia="宋体" w:cs="Times New Roman"/>
          <w:i w:val="0"/>
          <w:iCs/>
          <w:szCs w:val="21"/>
          <w:u w:val="none"/>
        </w:rPr>
        <w:t>现场报名</w:t>
      </w:r>
      <w:r>
        <w:rPr>
          <w:rFonts w:hint="eastAsia"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（一）报名时限：</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23</w:t>
      </w:r>
      <w:r>
        <w:rPr>
          <w:rFonts w:hint="eastAsia"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15</w:t>
      </w:r>
      <w:r>
        <w:rPr>
          <w:rFonts w:hint="eastAsia"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时－</w:t>
      </w:r>
      <w:r>
        <w:rPr>
          <w:rFonts w:ascii="Times New Roman" w:hAnsi="Times New Roman" w:eastAsia="宋体" w:cs="Times New Roman"/>
          <w:i w:val="0"/>
          <w:iCs/>
          <w:szCs w:val="21"/>
          <w:u w:val="single"/>
        </w:rPr>
        <w:t>20</w:t>
      </w:r>
      <w:r>
        <w:rPr>
          <w:rFonts w:hint="eastAsia" w:ascii="Times New Roman" w:hAnsi="Times New Roman" w:eastAsia="宋体" w:cs="Times New Roman"/>
          <w:i w:val="0"/>
          <w:iCs/>
          <w:szCs w:val="21"/>
          <w:u w:val="single"/>
          <w:lang w:val="en-US" w:eastAsia="zh-CN"/>
        </w:rPr>
        <w:t>24</w:t>
      </w:r>
      <w:r>
        <w:rPr>
          <w:rFonts w:hint="eastAsia"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w:t>
      </w:r>
      <w:r>
        <w:rPr>
          <w:rFonts w:hint="eastAsia"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时</w:t>
      </w:r>
      <w:r>
        <w:rPr>
          <w:rFonts w:hint="eastAsia"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《竞买申请书》（原件</w:t>
      </w:r>
      <w:r>
        <w:rPr>
          <w:rFonts w:ascii="Times New Roman" w:hAnsi="Times New Roman" w:eastAsia="宋体" w:cs="Times New Roman"/>
          <w:szCs w:val="21"/>
        </w:rPr>
        <w:t>1</w:t>
      </w:r>
      <w:r>
        <w:rPr>
          <w:rFonts w:hint="eastAsia" w:ascii="Times New Roman" w:hAnsi="Times New Roman" w:eastAsia="宋体" w:cs="Times New Roman"/>
          <w:szCs w:val="21"/>
        </w:rPr>
        <w:t>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工商营业执照副本（复印件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法人身份证明（复印件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法人不能亲自参加的应提供《授权委托书》（原件</w:t>
      </w:r>
      <w:r>
        <w:rPr>
          <w:rFonts w:ascii="Times New Roman" w:hAnsi="Times New Roman" w:eastAsia="宋体" w:cs="Times New Roman"/>
          <w:szCs w:val="21"/>
        </w:rPr>
        <w:t>1</w:t>
      </w:r>
      <w:r>
        <w:rPr>
          <w:rFonts w:hint="eastAsia" w:ascii="Times New Roman" w:hAnsi="Times New Roman" w:eastAsia="宋体" w:cs="Times New Roman"/>
          <w:szCs w:val="21"/>
        </w:rPr>
        <w:t>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受托人身份证明（复印件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竞买申请人签署意见的《出让文件》（原件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申请人可于报名期限内足额交纳竞买保证金到指定账户，并持相应报名纸质件资料到</w:t>
      </w:r>
      <w:r>
        <w:rPr>
          <w:rFonts w:hint="eastAsia" w:ascii="Times New Roman" w:hAnsi="Times New Roman" w:eastAsia="宋体" w:cs="Times New Roman"/>
          <w:i w:val="0"/>
          <w:iCs/>
          <w:kern w:val="0"/>
          <w:szCs w:val="21"/>
          <w:u w:val="none"/>
        </w:rPr>
        <w:t>重庆市万州区公共资源交易中心</w:t>
      </w:r>
      <w:r>
        <w:rPr>
          <w:rFonts w:hint="eastAsia" w:ascii="Times New Roman" w:hAnsi="Times New Roman" w:eastAsia="宋体" w:cs="Times New Roman"/>
          <w:szCs w:val="21"/>
        </w:rPr>
        <w:t>提交报名申请。提交复印件的应于报名时提交原件供核对。</w:t>
      </w:r>
    </w:p>
    <w:p>
      <w:pPr>
        <w:spacing w:line="360" w:lineRule="exact"/>
        <w:ind w:firstLine="420" w:firstLineChars="200"/>
        <w:rPr>
          <w:rFonts w:ascii="Times New Roman" w:hAnsi="Times New Roman" w:eastAsia="宋体" w:cs="Times New Roman"/>
          <w:i w:val="0"/>
          <w:iCs w:val="0"/>
          <w:szCs w:val="21"/>
        </w:rPr>
      </w:pPr>
      <w:r>
        <w:rPr>
          <w:rFonts w:hint="eastAsia" w:ascii="Times New Roman" w:hAnsi="Times New Roman" w:eastAsia="宋体" w:cs="Times New Roman"/>
          <w:i w:val="0"/>
          <w:iCs w:val="0"/>
          <w:szCs w:val="21"/>
        </w:rPr>
        <w:t>报名地点：</w:t>
      </w:r>
      <w:r>
        <w:rPr>
          <w:rFonts w:hint="eastAsia" w:ascii="Times New Roman" w:hAnsi="Times New Roman" w:eastAsia="宋体" w:cs="Times New Roman"/>
          <w:i w:val="0"/>
          <w:iCs w:val="0"/>
          <w:szCs w:val="21"/>
          <w:u w:val="single"/>
        </w:rPr>
        <w:t>重庆市万州区周家坝天城大道709号闽天会展中心三楼</w:t>
      </w:r>
      <w:r>
        <w:rPr>
          <w:rFonts w:hint="eastAsia" w:ascii="Times New Roman" w:hAnsi="Times New Roman" w:eastAsia="宋体" w:cs="Times New Roman"/>
          <w:i w:val="0"/>
          <w:iCs w:val="0"/>
          <w:szCs w:val="21"/>
        </w:rPr>
        <w:t>。</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i w:val="0"/>
          <w:iCs w:val="0"/>
          <w:szCs w:val="21"/>
        </w:rPr>
        <w:t>联系人：</w:t>
      </w:r>
      <w:r>
        <w:rPr>
          <w:rFonts w:hint="eastAsia" w:ascii="Times New Roman" w:hAnsi="Times New Roman" w:eastAsia="宋体" w:cs="Times New Roman"/>
          <w:i w:val="0"/>
          <w:iCs/>
          <w:szCs w:val="21"/>
          <w:u w:val="single"/>
          <w:lang w:val="en-US" w:eastAsia="zh-CN"/>
        </w:rPr>
        <w:t>郭女士</w:t>
      </w:r>
      <w:r>
        <w:rPr>
          <w:rFonts w:hint="eastAsia" w:ascii="Times New Roman" w:hAnsi="Times New Roman" w:eastAsia="宋体" w:cs="Times New Roman"/>
          <w:i w:val="0"/>
          <w:iCs w:val="0"/>
          <w:kern w:val="0"/>
          <w:szCs w:val="21"/>
        </w:rPr>
        <w:t>，联系电话</w:t>
      </w:r>
      <w:r>
        <w:rPr>
          <w:rFonts w:hint="eastAsia" w:ascii="Times New Roman" w:hAnsi="Times New Roman" w:eastAsia="宋体" w:cs="Times New Roman"/>
          <w:i w:val="0"/>
          <w:iCs w:val="0"/>
          <w:szCs w:val="21"/>
          <w:u w:val="single"/>
        </w:rPr>
        <w:t>023-58332117　58203136（财务科）</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rPr>
        <w:t>（四）保证金的交纳及相关规定</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lang w:val="en-US" w:eastAsia="zh-CN"/>
        </w:rPr>
        <w:t>1、</w:t>
      </w:r>
      <w:r>
        <w:rPr>
          <w:rFonts w:ascii="Times New Roman" w:hAnsi="Times New Roman" w:eastAsia="宋体" w:cs="Times New Roman"/>
          <w:i w:val="0"/>
          <w:iCs/>
          <w:szCs w:val="21"/>
          <w:u w:val="none"/>
        </w:rPr>
        <w:t>保证金的缴纳：该宗</w:t>
      </w:r>
      <w:r>
        <w:rPr>
          <w:rFonts w:hint="eastAsia" w:ascii="Times New Roman" w:hAnsi="Times New Roman" w:eastAsia="宋体" w:cs="Times New Roman"/>
          <w:i w:val="0"/>
          <w:iCs/>
          <w:szCs w:val="21"/>
          <w:u w:val="none"/>
        </w:rPr>
        <w:t>采</w:t>
      </w:r>
      <w:r>
        <w:rPr>
          <w:rFonts w:ascii="Times New Roman" w:hAnsi="Times New Roman" w:eastAsia="宋体" w:cs="Times New Roman"/>
          <w:i w:val="0"/>
          <w:iCs/>
          <w:szCs w:val="21"/>
          <w:u w:val="none"/>
        </w:rPr>
        <w:t>矿权保证金为</w:t>
      </w:r>
      <w:r>
        <w:rPr>
          <w:rFonts w:hint="eastAsia" w:ascii="Times New Roman" w:hAnsi="Times New Roman" w:eastAsia="宋体" w:cs="Times New Roman"/>
          <w:i w:val="0"/>
          <w:iCs/>
          <w:szCs w:val="21"/>
          <w:highlight w:val="none"/>
          <w:u w:val="none"/>
          <w:lang w:val="en-US" w:eastAsia="zh-CN"/>
        </w:rPr>
        <w:t>2.44</w:t>
      </w:r>
      <w:r>
        <w:rPr>
          <w:rFonts w:ascii="Times New Roman" w:hAnsi="Times New Roman" w:eastAsia="宋体" w:cs="Times New Roman"/>
          <w:i w:val="0"/>
          <w:iCs/>
          <w:szCs w:val="21"/>
          <w:highlight w:val="none"/>
          <w:u w:val="none"/>
        </w:rPr>
        <w:t>万元（大写：</w:t>
      </w:r>
      <w:r>
        <w:rPr>
          <w:rFonts w:hint="eastAsia" w:ascii="Times New Roman" w:hAnsi="Times New Roman" w:eastAsia="宋体" w:cs="Times New Roman"/>
          <w:i w:val="0"/>
          <w:iCs/>
          <w:szCs w:val="21"/>
          <w:highlight w:val="none"/>
          <w:u w:val="none"/>
          <w:lang w:val="en-US" w:eastAsia="zh-CN"/>
        </w:rPr>
        <w:t>贰万肆仟肆佰元整</w:t>
      </w:r>
      <w:r>
        <w:rPr>
          <w:rFonts w:ascii="Times New Roman" w:hAnsi="Times New Roman" w:eastAsia="宋体" w:cs="Times New Roman"/>
          <w:i w:val="0"/>
          <w:iCs/>
          <w:szCs w:val="21"/>
          <w:highlight w:val="none"/>
          <w:u w:val="none"/>
        </w:rPr>
        <w:t>）</w:t>
      </w:r>
      <w:r>
        <w:rPr>
          <w:rFonts w:ascii="Times New Roman" w:hAnsi="Times New Roman" w:eastAsia="宋体" w:cs="Times New Roman"/>
          <w:i w:val="0"/>
          <w:iCs/>
          <w:szCs w:val="21"/>
          <w:u w:val="none"/>
        </w:rPr>
        <w:t>，竞买申请人应于报名时间截止之前向</w:t>
      </w:r>
      <w:r>
        <w:rPr>
          <w:rFonts w:hint="eastAsia" w:ascii="Times New Roman" w:hAnsi="Times New Roman" w:eastAsia="宋体" w:cs="Times New Roman"/>
          <w:i w:val="0"/>
          <w:iCs/>
          <w:szCs w:val="21"/>
          <w:u w:val="none"/>
        </w:rPr>
        <w:t>重庆市万州区公共资源交易中心</w:t>
      </w:r>
      <w:r>
        <w:rPr>
          <w:rFonts w:ascii="Times New Roman" w:hAnsi="Times New Roman" w:eastAsia="宋体" w:cs="Times New Roman"/>
          <w:i w:val="0"/>
          <w:iCs/>
          <w:szCs w:val="21"/>
          <w:u w:val="none"/>
        </w:rPr>
        <w:t>缴纳竞买保证金。竞买保证金到账截止时间为：</w:t>
      </w:r>
      <w:r>
        <w:rPr>
          <w:rFonts w:hint="eastAsia" w:ascii="Times New Roman" w:hAnsi="Times New Roman" w:eastAsia="宋体" w:cs="Times New Roman"/>
          <w:i w:val="0"/>
          <w:iCs/>
          <w:szCs w:val="21"/>
          <w:highlight w:val="none"/>
          <w:u w:val="single"/>
        </w:rPr>
        <w:t>202</w:t>
      </w:r>
      <w:r>
        <w:rPr>
          <w:rFonts w:hint="eastAsia" w:ascii="Times New Roman" w:hAnsi="Times New Roman" w:eastAsia="宋体" w:cs="Times New Roman"/>
          <w:i w:val="0"/>
          <w:iCs/>
          <w:szCs w:val="21"/>
          <w:highlight w:val="none"/>
          <w:u w:val="single"/>
          <w:lang w:val="en-US" w:eastAsia="zh-CN"/>
        </w:rPr>
        <w:t>4</w:t>
      </w:r>
      <w:r>
        <w:rPr>
          <w:rFonts w:hint="eastAsia" w:ascii="Times New Roman" w:hAnsi="Times New Roman" w:eastAsia="宋体" w:cs="Times New Roman"/>
          <w:i w:val="0"/>
          <w:iCs/>
          <w:szCs w:val="21"/>
          <w:highlight w:val="none"/>
          <w:u w:val="single"/>
        </w:rPr>
        <w:t>年</w:t>
      </w:r>
      <w:r>
        <w:rPr>
          <w:rFonts w:hint="eastAsia" w:ascii="Times New Roman" w:hAnsi="Times New Roman" w:eastAsia="宋体" w:cs="Times New Roman"/>
          <w:i w:val="0"/>
          <w:iCs/>
          <w:szCs w:val="21"/>
          <w:highlight w:val="none"/>
          <w:u w:val="single"/>
          <w:lang w:val="en-US" w:eastAsia="zh-CN"/>
        </w:rPr>
        <w:t>1</w:t>
      </w:r>
      <w:r>
        <w:rPr>
          <w:rFonts w:hint="eastAsia" w:ascii="Times New Roman" w:hAnsi="Times New Roman" w:eastAsia="宋体" w:cs="Times New Roman"/>
          <w:i w:val="0"/>
          <w:iCs/>
          <w:szCs w:val="21"/>
          <w:highlight w:val="none"/>
          <w:u w:val="single"/>
        </w:rPr>
        <w:t>月</w:t>
      </w:r>
      <w:r>
        <w:rPr>
          <w:rFonts w:hint="eastAsia" w:ascii="Times New Roman" w:hAnsi="Times New Roman" w:eastAsia="宋体" w:cs="Times New Roman"/>
          <w:i w:val="0"/>
          <w:iCs/>
          <w:szCs w:val="21"/>
          <w:highlight w:val="none"/>
          <w:u w:val="single"/>
          <w:lang w:val="en-US" w:eastAsia="zh-CN"/>
        </w:rPr>
        <w:t>12</w:t>
      </w:r>
      <w:r>
        <w:rPr>
          <w:rFonts w:hint="eastAsia" w:ascii="Times New Roman" w:hAnsi="Times New Roman" w:eastAsia="宋体" w:cs="Times New Roman"/>
          <w:i w:val="0"/>
          <w:iCs/>
          <w:szCs w:val="21"/>
          <w:highlight w:val="none"/>
          <w:u w:val="single"/>
        </w:rPr>
        <w:t>日</w:t>
      </w:r>
      <w:r>
        <w:rPr>
          <w:rFonts w:hint="eastAsia" w:ascii="Times New Roman" w:hAnsi="Times New Roman" w:eastAsia="宋体" w:cs="Times New Roman"/>
          <w:i w:val="0"/>
          <w:iCs/>
          <w:szCs w:val="21"/>
          <w:highlight w:val="none"/>
          <w:u w:val="single"/>
          <w:lang w:val="en-US" w:eastAsia="zh-CN"/>
        </w:rPr>
        <w:t>12</w:t>
      </w:r>
      <w:r>
        <w:rPr>
          <w:rFonts w:hint="eastAsia" w:ascii="Times New Roman" w:hAnsi="Times New Roman" w:eastAsia="宋体" w:cs="Times New Roman"/>
          <w:i w:val="0"/>
          <w:iCs/>
          <w:szCs w:val="21"/>
          <w:highlight w:val="none"/>
          <w:u w:val="single"/>
        </w:rPr>
        <w:t>时</w:t>
      </w:r>
      <w:r>
        <w:rPr>
          <w:rFonts w:ascii="Times New Roman" w:hAnsi="Times New Roman" w:eastAsia="宋体" w:cs="Times New Roman"/>
          <w:i w:val="0"/>
          <w:iCs/>
          <w:szCs w:val="21"/>
          <w:u w:val="none"/>
        </w:rPr>
        <w:t>。缴款时间以银行确认的到帐时间为准，保证金未按时到帐的，不予受理报名。</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保证金户名：重庆市万州区公共资源交易中心</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 xml:space="preserve">开户行：重庆三峡银行天城支行 </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rPr>
        <w:t>帐号：0217016430000038</w:t>
      </w:r>
    </w:p>
    <w:p>
      <w:pPr>
        <w:spacing w:line="360" w:lineRule="exact"/>
        <w:ind w:firstLine="420" w:firstLineChars="200"/>
        <w:rPr>
          <w:rFonts w:ascii="Times New Roman" w:hAnsi="Times New Roman" w:eastAsia="宋体" w:cs="Times New Roman"/>
          <w:i w:val="0"/>
          <w:iCs/>
          <w:szCs w:val="21"/>
          <w:u w:val="single"/>
        </w:rPr>
      </w:pPr>
      <w:r>
        <w:rPr>
          <w:rFonts w:hint="eastAsia" w:ascii="Times New Roman" w:hAnsi="Times New Roman" w:eastAsia="宋体" w:cs="Times New Roman"/>
          <w:i w:val="0"/>
          <w:iCs/>
          <w:szCs w:val="21"/>
          <w:u w:val="none"/>
          <w:lang w:val="en-US" w:eastAsia="zh-CN"/>
        </w:rPr>
        <w:t>2、</w:t>
      </w:r>
      <w:r>
        <w:rPr>
          <w:rFonts w:hint="eastAsia" w:ascii="Times New Roman" w:hAnsi="Times New Roman" w:eastAsia="宋体" w:cs="Times New Roman"/>
          <w:i w:val="0"/>
          <w:iCs/>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w:t>
      </w:r>
      <w:r>
        <w:rPr>
          <w:rFonts w:ascii="Times New Roman" w:hAnsi="Times New Roman" w:eastAsia="宋体" w:cs="Times New Roman"/>
          <w:i w:val="0"/>
          <w:iCs/>
          <w:szCs w:val="21"/>
          <w:u w:val="none"/>
        </w:rPr>
        <w:t>1</w:t>
      </w:r>
      <w:r>
        <w:rPr>
          <w:rFonts w:hint="eastAsia" w:ascii="Times New Roman" w:hAnsi="Times New Roman" w:eastAsia="宋体" w:cs="Times New Roman"/>
          <w:i w:val="0"/>
          <w:iCs/>
          <w:szCs w:val="21"/>
          <w:u w:val="none"/>
        </w:rPr>
        <w:t>个工作日内在竞买保证金账户管理单位办理退还手续（但</w:t>
      </w:r>
      <w:r>
        <w:rPr>
          <w:rFonts w:hint="eastAsia" w:ascii="Times New Roman" w:hAnsi="Times New Roman" w:eastAsia="宋体" w:cs="Times New Roman"/>
          <w:i w:val="0"/>
          <w:iCs/>
          <w:color w:val="auto"/>
          <w:szCs w:val="21"/>
          <w:u w:val="none"/>
        </w:rPr>
        <w:t>不计利息</w:t>
      </w:r>
      <w:r>
        <w:rPr>
          <w:rFonts w:hint="eastAsia" w:ascii="Times New Roman" w:hAnsi="Times New Roman" w:eastAsia="宋体" w:cs="Times New Roman"/>
          <w:i w:val="0"/>
          <w:iCs/>
          <w:szCs w:val="21"/>
          <w:u w:val="none"/>
        </w:rPr>
        <w:t>）。</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五、确定竞得人的标准和方法</w:t>
      </w:r>
    </w:p>
    <w:p>
      <w:pPr>
        <w:spacing w:line="360" w:lineRule="exact"/>
        <w:ind w:firstLine="420" w:firstLineChars="200"/>
        <w:rPr>
          <w:rFonts w:ascii="Times New Roman" w:hAnsi="Times New Roman" w:eastAsia="宋体" w:cs="Times New Roman"/>
          <w:i w:val="0"/>
          <w:iCs/>
          <w:szCs w:val="21"/>
        </w:rPr>
      </w:pPr>
      <w:r>
        <w:rPr>
          <w:rFonts w:hint="eastAsia" w:ascii="Times New Roman" w:hAnsi="Times New Roman" w:eastAsia="宋体" w:cs="Times New Roman"/>
          <w:szCs w:val="21"/>
        </w:rPr>
        <w:t>（一）</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时间：</w:t>
      </w:r>
      <w:r>
        <w:rPr>
          <w:rFonts w:ascii="Times New Roman" w:hAnsi="Times New Roman" w:eastAsia="宋体" w:cs="Times New Roman"/>
          <w:i w:val="0"/>
          <w:iCs/>
          <w:szCs w:val="21"/>
          <w:u w:val="single"/>
        </w:rPr>
        <w:t>202</w:t>
      </w:r>
      <w:r>
        <w:rPr>
          <w:rFonts w:hint="eastAsia" w:ascii="Times New Roman" w:hAnsi="Times New Roman" w:eastAsia="宋体" w:cs="Times New Roman"/>
          <w:i w:val="0"/>
          <w:iCs/>
          <w:szCs w:val="21"/>
          <w:u w:val="single"/>
          <w:lang w:val="en-US" w:eastAsia="zh-CN"/>
        </w:rPr>
        <w:t>4</w:t>
      </w:r>
      <w:r>
        <w:rPr>
          <w:rFonts w:hint="eastAsia"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w:t>
      </w:r>
      <w:r>
        <w:rPr>
          <w:rFonts w:hint="eastAsia"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15</w:t>
      </w:r>
      <w:r>
        <w:rPr>
          <w:rFonts w:hint="eastAsia"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时</w:t>
      </w:r>
      <w:r>
        <w:rPr>
          <w:rFonts w:ascii="Times New Roman" w:hAnsi="Times New Roman" w:eastAsia="宋体" w:cs="Times New Roman"/>
          <w:i w:val="0"/>
          <w:iCs/>
          <w:szCs w:val="21"/>
          <w:u w:val="single"/>
        </w:rPr>
        <w:t>-202</w:t>
      </w:r>
      <w:r>
        <w:rPr>
          <w:rFonts w:hint="eastAsia" w:ascii="Times New Roman" w:hAnsi="Times New Roman" w:eastAsia="宋体" w:cs="Times New Roman"/>
          <w:i w:val="0"/>
          <w:iCs/>
          <w:szCs w:val="21"/>
          <w:u w:val="single"/>
          <w:lang w:val="en-US" w:eastAsia="zh-CN"/>
        </w:rPr>
        <w:t>4</w:t>
      </w:r>
      <w:r>
        <w:rPr>
          <w:rFonts w:hint="eastAsia" w:ascii="Times New Roman" w:hAnsi="Times New Roman" w:eastAsia="宋体" w:cs="Times New Roman"/>
          <w:i w:val="0"/>
          <w:iCs/>
          <w:szCs w:val="21"/>
          <w:u w:val="single"/>
        </w:rPr>
        <w:t>年</w:t>
      </w:r>
      <w:r>
        <w:rPr>
          <w:rFonts w:hint="eastAsia" w:ascii="Times New Roman" w:hAnsi="Times New Roman" w:eastAsia="宋体" w:cs="Times New Roman"/>
          <w:i w:val="0"/>
          <w:iCs/>
          <w:szCs w:val="21"/>
          <w:u w:val="single"/>
          <w:lang w:val="en-US" w:eastAsia="zh-CN"/>
        </w:rPr>
        <w:t>1</w:t>
      </w:r>
      <w:r>
        <w:rPr>
          <w:rFonts w:hint="eastAsia" w:ascii="Times New Roman" w:hAnsi="Times New Roman" w:eastAsia="宋体" w:cs="Times New Roman"/>
          <w:i w:val="0"/>
          <w:iCs/>
          <w:szCs w:val="21"/>
          <w:u w:val="single"/>
        </w:rPr>
        <w:t>月</w:t>
      </w:r>
      <w:r>
        <w:rPr>
          <w:rFonts w:hint="eastAsia" w:ascii="Times New Roman" w:hAnsi="Times New Roman" w:eastAsia="宋体" w:cs="Times New Roman"/>
          <w:i w:val="0"/>
          <w:iCs/>
          <w:szCs w:val="21"/>
          <w:u w:val="single"/>
          <w:lang w:val="en-US" w:eastAsia="zh-CN"/>
        </w:rPr>
        <w:t>26</w:t>
      </w:r>
      <w:r>
        <w:rPr>
          <w:rFonts w:hint="eastAsia" w:ascii="Times New Roman" w:hAnsi="Times New Roman" w:eastAsia="宋体" w:cs="Times New Roman"/>
          <w:i w:val="0"/>
          <w:iCs/>
          <w:szCs w:val="21"/>
          <w:u w:val="single"/>
        </w:rPr>
        <w:t>日</w:t>
      </w:r>
      <w:r>
        <w:rPr>
          <w:rFonts w:hint="eastAsia" w:ascii="Times New Roman" w:hAnsi="Times New Roman" w:eastAsia="宋体" w:cs="Times New Roman"/>
          <w:i w:val="0"/>
          <w:iCs/>
          <w:szCs w:val="21"/>
          <w:u w:val="single"/>
          <w:lang w:val="en-US" w:eastAsia="zh-CN"/>
        </w:rPr>
        <w:t>12</w:t>
      </w:r>
      <w:r>
        <w:rPr>
          <w:rFonts w:hint="eastAsia" w:ascii="Times New Roman" w:hAnsi="Times New Roman" w:eastAsia="宋体" w:cs="Times New Roman"/>
          <w:i w:val="0"/>
          <w:iCs/>
          <w:szCs w:val="21"/>
          <w:u w:val="single"/>
        </w:rPr>
        <w:t>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（二）本次</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出让为无底价，采用增价报价的方式，按照价高者得原则确定竞得人。</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成交后的竞得人按规定即时签订《成交确认书》，成交结果在相关网站公示</w:t>
      </w:r>
      <w:r>
        <w:rPr>
          <w:rFonts w:ascii="Times New Roman" w:hAnsi="Times New Roman" w:eastAsia="宋体" w:cs="Times New Roman"/>
          <w:szCs w:val="21"/>
        </w:rPr>
        <w:t>10</w:t>
      </w:r>
      <w:r>
        <w:rPr>
          <w:rFonts w:hint="eastAsia" w:ascii="Times New Roman" w:hAnsi="Times New Roman" w:eastAsia="宋体" w:cs="Times New Roman"/>
          <w:szCs w:val="21"/>
        </w:rPr>
        <w:t>个工作日。</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（三）挂牌程序及竞得方式按国家及重庆市有关规定执行。如在挂牌程序中，本</w:t>
      </w:r>
      <w:r>
        <w:rPr>
          <w:rFonts w:hint="eastAsia" w:ascii="Times New Roman" w:hAnsi="Times New Roman" w:eastAsia="宋体" w:cs="Times New Roman"/>
          <w:i w:val="0"/>
          <w:iCs/>
          <w:szCs w:val="21"/>
          <w:u w:val="none"/>
          <w:lang w:val="en-US" w:eastAsia="zh-CN"/>
        </w:rPr>
        <w:t>探</w:t>
      </w:r>
      <w:r>
        <w:rPr>
          <w:rFonts w:ascii="Times New Roman" w:hAnsi="Times New Roman" w:eastAsia="宋体" w:cs="Times New Roman"/>
          <w:i w:val="0"/>
          <w:iCs/>
          <w:szCs w:val="21"/>
          <w:u w:val="none"/>
        </w:rPr>
        <w:t>矿权因监管部门要求需终止交易行为的，在告知竞买申请人后，退还</w:t>
      </w:r>
      <w:r>
        <w:rPr>
          <w:rFonts w:hint="eastAsia" w:ascii="Times New Roman" w:hAnsi="Times New Roman" w:eastAsia="宋体" w:cs="Times New Roman"/>
          <w:i w:val="0"/>
          <w:iCs/>
          <w:szCs w:val="21"/>
          <w:u w:val="none"/>
          <w:lang w:val="en-US" w:eastAsia="zh-CN"/>
        </w:rPr>
        <w:t>探</w:t>
      </w:r>
      <w:r>
        <w:rPr>
          <w:rFonts w:ascii="Times New Roman" w:hAnsi="Times New Roman" w:eastAsia="宋体" w:cs="Times New Roman"/>
          <w:i w:val="0"/>
          <w:iCs/>
          <w:szCs w:val="21"/>
          <w:u w:val="none"/>
        </w:rPr>
        <w:t>矿权竞买申请人已交纳的竞买保证金，不计利息。</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四）挂牌交易结束后竞得人与重庆市万州区公共资源交易中心现场签订《探矿权出让成交确认书》。</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六、风险提示</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（一）因地质勘查工作实际需要，有关该宗探矿权的用地、用水、用电、公路、环保、基础设施等工作，由竞得人自行负责解决并依法完善相关手续。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二）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（三）非因出让人过失造成的探矿权损减（包含但不限于勘查区块面积缩减、勘查许可证废止、勘查许可证被吊销、出让合同终止等），出让人已经收取的探矿权出让收益等费用一律不予退还。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（四）矿产资源勘查有着不可预见的风险，竞买申请人须慎重并自行承担风险。出现包含但不限于下列的情形，出让人不退还已收取的探矿权出让收益等相关费用。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在勘查许可证载明的区块范围和有效期限内</w:t>
      </w: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不能找到可供开采的矿产资源；</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法律法规修改或国家政策变化、矿产资源规划调整，包括但不限于安全、环境保护、产业政策等要求</w:t>
      </w: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对特定探矿手段、选矿方法的限制对探矿权造成不利影响或不能转为采矿权的；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以往开展的地质工作、形成的地质勘查资料存在瑕疵；</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七、违约责任、公共资源交易领域失信联合惩戒相关提示</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（一）对违反公共资源交易法律法规，违背诚实信用原则的竞买人，将按照《关于对公共资源领域严重失信主体开展联合惩戒备忘录》（发改法规〔</w:t>
      </w:r>
      <w:r>
        <w:rPr>
          <w:rFonts w:ascii="Times New Roman" w:hAnsi="Times New Roman" w:eastAsia="宋体" w:cs="Times New Roman"/>
          <w:color w:val="auto"/>
          <w:szCs w:val="21"/>
        </w:rPr>
        <w:t>2018</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457</w:t>
      </w:r>
      <w:r>
        <w:rPr>
          <w:rFonts w:hint="eastAsia" w:ascii="Times New Roman" w:hAnsi="Times New Roman" w:eastAsia="宋体" w:cs="Times New Roman"/>
          <w:color w:val="auto"/>
          <w:szCs w:val="21"/>
        </w:rPr>
        <w:t>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竞买人之间串通报价，损害国家利益、社会公共利益或者他人合法权益的；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竞买人弄虚作假，骗取交易资格或竞得的；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采取行贿或其他不正当手段竞得的；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4.</w:t>
      </w:r>
      <w:r>
        <w:rPr>
          <w:rFonts w:hint="eastAsia" w:ascii="Times New Roman" w:hAnsi="Times New Roman" w:eastAsia="宋体" w:cs="Times New Roman"/>
          <w:color w:val="auto"/>
          <w:szCs w:val="21"/>
        </w:rPr>
        <w:t>竞得人逾期不签订或者拒绝签订成交确认书的；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5.</w:t>
      </w:r>
      <w:r>
        <w:rPr>
          <w:rFonts w:hint="eastAsia" w:ascii="Times New Roman" w:hAnsi="Times New Roman" w:eastAsia="宋体" w:cs="Times New Roman"/>
          <w:color w:val="auto"/>
          <w:szCs w:val="21"/>
        </w:rPr>
        <w:t>竞得人逾期不签订或者拒绝签订出让合同的；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其他依法应当认定为违约的情形。</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八、出让合同签订事宜说明</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竞得人应在取得成交确认书后的</w:t>
      </w:r>
      <w:r>
        <w:rPr>
          <w:rFonts w:ascii="Times New Roman" w:hAnsi="Times New Roman" w:eastAsia="宋体" w:cs="Times New Roman"/>
          <w:color w:val="auto"/>
          <w:szCs w:val="21"/>
        </w:rPr>
        <w:t>15</w:t>
      </w:r>
      <w:r>
        <w:rPr>
          <w:rFonts w:hint="eastAsia" w:ascii="Times New Roman" w:hAnsi="Times New Roman" w:eastAsia="宋体" w:cs="Times New Roman"/>
          <w:color w:val="auto"/>
          <w:szCs w:val="21"/>
        </w:rPr>
        <w:t>个工作日内，持成交确认书、合同签订申请书及其他相关资料向出让人申请签订《重庆市探矿权出让合同》。成交结果公示期满无异议的，竞得人应于取得成交确认书后的</w:t>
      </w:r>
      <w:r>
        <w:rPr>
          <w:rFonts w:ascii="Times New Roman" w:hAnsi="Times New Roman" w:eastAsia="宋体" w:cs="Times New Roman"/>
          <w:color w:val="auto"/>
          <w:szCs w:val="21"/>
        </w:rPr>
        <w:t>30</w:t>
      </w:r>
      <w:r>
        <w:rPr>
          <w:rFonts w:hint="eastAsia" w:ascii="Times New Roman" w:hAnsi="Times New Roman" w:eastAsia="宋体" w:cs="Times New Roman"/>
          <w:color w:val="auto"/>
          <w:szCs w:val="21"/>
        </w:rPr>
        <w:t>个工作日内与出让人完成合同签订。若逾期未申请或拒不完成合同签订的，则视为竞得人自动放弃竞得资格，出让人不予退还竞买保证金并有权另行出让该宗探矿权。合同签订申请资料如下：</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探矿权出让合同签订申请书（原件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探矿权成交确认书（复印件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工商营业执照副本（复印件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4.</w:t>
      </w:r>
      <w:r>
        <w:rPr>
          <w:rFonts w:hint="eastAsia" w:ascii="Times New Roman" w:hAnsi="Times New Roman" w:eastAsia="宋体" w:cs="Times New Roman"/>
          <w:color w:val="auto"/>
          <w:szCs w:val="21"/>
        </w:rPr>
        <w:t>法人身份证明（复印件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5.</w:t>
      </w:r>
      <w:r>
        <w:rPr>
          <w:rFonts w:hint="eastAsia" w:ascii="Times New Roman" w:hAnsi="Times New Roman" w:eastAsia="宋体" w:cs="Times New Roman"/>
          <w:color w:val="auto"/>
          <w:szCs w:val="21"/>
        </w:rPr>
        <w:t>法人不能亲自办理的应提供《授权委托书》（原件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受托人身份证明（复印件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b/>
          <w:bCs/>
          <w:color w:val="auto"/>
          <w:szCs w:val="21"/>
        </w:rPr>
      </w:pPr>
      <w:r>
        <w:rPr>
          <w:rFonts w:ascii="Times New Roman" w:hAnsi="Times New Roman" w:eastAsia="宋体" w:cs="Times New Roman"/>
          <w:color w:val="auto"/>
          <w:szCs w:val="21"/>
        </w:rPr>
        <w:t>7.</w:t>
      </w:r>
      <w:r>
        <w:rPr>
          <w:rFonts w:hint="eastAsia" w:ascii="Times New Roman" w:hAnsi="Times New Roman" w:eastAsia="宋体" w:cs="Times New Roman"/>
          <w:color w:val="auto"/>
          <w:szCs w:val="21"/>
        </w:rPr>
        <w:t>按照成交结果完善的《重庆市探矿权出让合同》签章件</w:t>
      </w: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份（原件）。</w:t>
      </w:r>
    </w:p>
    <w:p>
      <w:pPr>
        <w:spacing w:line="36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对本次出让的探矿权存有异议的，应在公告期截止前以书面方式向</w:t>
      </w:r>
      <w:r>
        <w:rPr>
          <w:rFonts w:hint="eastAsia" w:ascii="Times New Roman" w:hAnsi="Times New Roman" w:eastAsia="宋体" w:cs="Times New Roman"/>
          <w:color w:val="auto"/>
          <w:szCs w:val="21"/>
          <w:lang w:val="en-US" w:eastAsia="zh-CN"/>
        </w:rPr>
        <w:t>重庆市</w:t>
      </w:r>
      <w:r>
        <w:rPr>
          <w:rFonts w:hint="eastAsia" w:ascii="Times New Roman" w:hAnsi="Times New Roman" w:eastAsia="宋体" w:cs="Times New Roman"/>
          <w:i w:val="0"/>
          <w:iCs/>
          <w:color w:val="auto"/>
          <w:szCs w:val="21"/>
          <w:u w:val="none"/>
          <w:lang w:val="en-US" w:eastAsia="zh-CN"/>
        </w:rPr>
        <w:t>万州区</w:t>
      </w:r>
      <w:r>
        <w:rPr>
          <w:rFonts w:hint="eastAsia" w:ascii="Times New Roman" w:hAnsi="Times New Roman" w:eastAsia="宋体" w:cs="Times New Roman"/>
          <w:i w:val="0"/>
          <w:iCs/>
          <w:color w:val="auto"/>
          <w:szCs w:val="21"/>
          <w:u w:val="none"/>
        </w:rPr>
        <w:t>规划和自然</w:t>
      </w:r>
      <w:r>
        <w:rPr>
          <w:rFonts w:hint="eastAsia" w:ascii="Times New Roman" w:hAnsi="Times New Roman" w:eastAsia="宋体" w:cs="Times New Roman"/>
          <w:i w:val="0"/>
          <w:iCs/>
          <w:color w:val="auto"/>
          <w:szCs w:val="21"/>
          <w:u w:val="none"/>
          <w:lang w:val="en-US" w:eastAsia="zh-CN"/>
        </w:rPr>
        <w:t>资源</w:t>
      </w:r>
      <w:r>
        <w:rPr>
          <w:rFonts w:hint="eastAsia" w:ascii="Times New Roman" w:hAnsi="Times New Roman" w:eastAsia="宋体" w:cs="Times New Roman"/>
          <w:i w:val="0"/>
          <w:iCs/>
          <w:color w:val="auto"/>
          <w:szCs w:val="21"/>
          <w:u w:val="none"/>
        </w:rPr>
        <w:t>局</w:t>
      </w:r>
      <w:r>
        <w:rPr>
          <w:rFonts w:hint="eastAsia" w:ascii="Times New Roman" w:hAnsi="Times New Roman" w:eastAsia="宋体" w:cs="Times New Roman"/>
          <w:color w:val="auto"/>
          <w:szCs w:val="21"/>
        </w:rPr>
        <w:t>提出；对出让交易程序存有异议的，应在结果公示期截止前以书面方式向</w:t>
      </w:r>
      <w:r>
        <w:rPr>
          <w:rFonts w:hint="eastAsia" w:ascii="Times New Roman" w:hAnsi="Times New Roman" w:eastAsia="宋体" w:cs="Times New Roman"/>
          <w:i w:val="0"/>
          <w:iCs/>
          <w:color w:val="auto"/>
          <w:szCs w:val="21"/>
          <w:u w:val="none"/>
        </w:rPr>
        <w:t>重庆市万州区公共资源交易中心</w:t>
      </w:r>
      <w:r>
        <w:rPr>
          <w:rFonts w:hint="eastAsia" w:ascii="Times New Roman" w:hAnsi="Times New Roman" w:eastAsia="宋体" w:cs="Times New Roman"/>
          <w:color w:val="auto"/>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（一）竞得人在探矿权区块范围内开展勘查工作应按照《矿山地质环境保护规定》履行矿山地质环境保护相关义务。</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（二）本次出让的探矿权按出让收益率形式征收出让收益，即在出让时征收挂牌最终确定的成交价。</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（三）若本次出让的探矿权后续转为采矿权的，需按规定缴纳采矿权出让收益，即在矿山开采时，按采矿权出让合同约定的出让收益率逐年征收采矿权出让收益。逐年征收的采矿权出让收益=年度矿产品销售收入×</w:t>
      </w:r>
      <w:bookmarkStart w:id="0" w:name="_GoBack"/>
      <w:bookmarkEnd w:id="0"/>
      <w:r>
        <w:rPr>
          <w:rFonts w:hint="eastAsia" w:ascii="Times New Roman" w:hAnsi="Times New Roman" w:eastAsia="宋体" w:cs="Times New Roman"/>
          <w:color w:val="auto"/>
          <w:szCs w:val="21"/>
        </w:rPr>
        <w:t>矿业权出让收益率。 年度矿产品销售收入，按照矿业权人销售矿产品向购买方收取的全部收入确定，不包括增值税税款。销售收入的具体规定，由自然资源部商财政部、税务总局另行明确。 </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（四）本次出让探矿权为首设，但探矿权勘查范围和原悦君山康养项目范围部分重叠，因历史遗留原因，部分土地已流转，竞买申请人提交竞买申请后视为认可现状，并自愿承担勘查及后期用地风险。</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（五）如有需要竞买申请人可自行到现场踏勘，由此产生的一切费用由竞买申请人自行承担。 </w:t>
      </w:r>
    </w:p>
    <w:p>
      <w:pPr>
        <w:spacing w:line="360" w:lineRule="exact"/>
        <w:ind w:firstLine="420" w:firstLineChars="200"/>
        <w:rPr>
          <w:rFonts w:hint="eastAsia" w:ascii="Times New Roman" w:hAnsi="Times New Roman" w:eastAsia="宋体" w:cs="Times New Roman"/>
          <w:i/>
          <w:kern w:val="0"/>
          <w:szCs w:val="21"/>
          <w:u w:val="single"/>
        </w:rPr>
      </w:pPr>
      <w:r>
        <w:rPr>
          <w:rFonts w:hint="eastAsia" w:ascii="Times New Roman" w:hAnsi="Times New Roman" w:eastAsia="宋体" w:cs="Times New Roman"/>
          <w:i/>
          <w:kern w:val="0"/>
          <w:szCs w:val="21"/>
          <w:u w:val="single"/>
        </w:rPr>
        <w:t>（六）本次出让公告其他未尽事宜，由重庆市万州区公共资源交易中心负责解释和通知。</w:t>
      </w:r>
    </w:p>
    <w:p>
      <w:pPr>
        <w:spacing w:line="360" w:lineRule="exact"/>
        <w:ind w:firstLine="420" w:firstLineChars="200"/>
        <w:rPr>
          <w:rFonts w:ascii="Times New Roman" w:hAnsi="Times New Roman" w:eastAsia="宋体" w:cs="Times New Roman"/>
          <w:i/>
          <w:kern w:val="0"/>
          <w:szCs w:val="21"/>
          <w:u w:val="single"/>
        </w:rPr>
      </w:pP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附件三：重庆市探矿权出让合同（模板）</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附件四：《成交确认书》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年</w:t>
      </w:r>
      <w:r>
        <w:rPr>
          <w:rFonts w:ascii="Times New Roman" w:hAnsi="Times New Roman" w:eastAsia="宋体" w:cs="Times New Roman"/>
          <w:szCs w:val="21"/>
        </w:rPr>
        <w:t xml:space="preserve">   </w:t>
      </w:r>
      <w:r>
        <w:rPr>
          <w:rFonts w:hint="eastAsia" w:ascii="Times New Roman" w:hAnsi="Times New Roman" w:eastAsia="宋体" w:cs="Times New Roman"/>
          <w:szCs w:val="21"/>
        </w:rPr>
        <w:t>月</w:t>
      </w:r>
      <w:r>
        <w:rPr>
          <w:rFonts w:ascii="Times New Roman" w:hAnsi="Times New Roman" w:eastAsia="宋体" w:cs="Times New Roman"/>
          <w:szCs w:val="21"/>
        </w:rPr>
        <w:t xml:space="preserve">   </w:t>
      </w:r>
      <w:r>
        <w:rPr>
          <w:rFonts w:hint="eastAsia" w:ascii="Times New Roman" w:hAnsi="Times New Roman" w:eastAsia="宋体" w:cs="Times New Roman"/>
          <w:szCs w:val="21"/>
        </w:rPr>
        <w:t>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6" w:hRule="exact"/>
        </w:trPr>
        <w:tc>
          <w:tcPr>
            <w:tcW w:w="8359" w:type="dxa"/>
          </w:tcPr>
          <w:p>
            <w:pPr>
              <w:spacing w:line="600" w:lineRule="exact"/>
              <w:rPr>
                <w:rFonts w:ascii="Times New Roman" w:hAnsi="Times New Roman" w:eastAsia="宋体" w:cs="Times New Roman"/>
                <w:szCs w:val="21"/>
              </w:rPr>
            </w:pPr>
            <w:r>
              <w:rPr>
                <w:rFonts w:hint="eastAsia"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hint="eastAsia" w:ascii="Times New Roman" w:hAnsi="Times New Roman" w:eastAsia="宋体" w:cs="Times New Roman"/>
                <w:i/>
                <w:szCs w:val="21"/>
                <w:u w:val="single"/>
              </w:rPr>
              <w:t>（填写已自行踏勘、知晓、自愿等声明）</w:t>
            </w:r>
            <w:r>
              <w:rPr>
                <w:rFonts w:ascii="Times New Roman" w:hAnsi="Times New Roman" w:eastAsia="宋体" w:cs="Times New Roman"/>
                <w:i/>
                <w:szCs w:val="21"/>
                <w:u w:val="single"/>
              </w:rPr>
              <w:t xml:space="preserve">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hint="eastAsia"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hint="eastAsia"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hint="eastAsia" w:ascii="Times New Roman" w:hAnsi="Times New Roman" w:eastAsia="宋体" w:cs="Times New Roman"/>
                <w:szCs w:val="21"/>
              </w:rPr>
              <w:t>年</w:t>
            </w:r>
            <w:r>
              <w:rPr>
                <w:rFonts w:ascii="Times New Roman" w:hAnsi="Times New Roman" w:eastAsia="宋体" w:cs="Times New Roman"/>
                <w:szCs w:val="21"/>
              </w:rPr>
              <w:t xml:space="preserve">   </w:t>
            </w:r>
            <w:r>
              <w:rPr>
                <w:rFonts w:hint="eastAsia" w:ascii="Times New Roman" w:hAnsi="Times New Roman" w:eastAsia="宋体" w:cs="Times New Roman"/>
                <w:szCs w:val="21"/>
              </w:rPr>
              <w:t>月</w:t>
            </w:r>
            <w:r>
              <w:rPr>
                <w:rFonts w:ascii="Times New Roman" w:hAnsi="Times New Roman" w:eastAsia="宋体" w:cs="Times New Roman"/>
                <w:szCs w:val="21"/>
              </w:rPr>
              <w:t xml:space="preserve">  </w:t>
            </w:r>
            <w:r>
              <w:rPr>
                <w:rFonts w:hint="eastAsia" w:ascii="Times New Roman" w:hAnsi="Times New Roman" w:eastAsia="宋体" w:cs="Times New Roman"/>
                <w:szCs w:val="21"/>
              </w:rPr>
              <w:t>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- 5 -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zNjc4NWM0NWVmMTMyOTI5Yzg0Y2E0NDE1MmVkYzAifQ=="/>
  </w:docVars>
  <w:rsids>
    <w:rsidRoot w:val="00803F35"/>
    <w:rsid w:val="000054FF"/>
    <w:rsid w:val="0000792B"/>
    <w:rsid w:val="00013003"/>
    <w:rsid w:val="00041288"/>
    <w:rsid w:val="00046B6E"/>
    <w:rsid w:val="00065D04"/>
    <w:rsid w:val="00096373"/>
    <w:rsid w:val="000B19AE"/>
    <w:rsid w:val="000B608D"/>
    <w:rsid w:val="000F5698"/>
    <w:rsid w:val="0010234C"/>
    <w:rsid w:val="0013144D"/>
    <w:rsid w:val="0014243B"/>
    <w:rsid w:val="001471C9"/>
    <w:rsid w:val="00190639"/>
    <w:rsid w:val="00190D77"/>
    <w:rsid w:val="001D4F49"/>
    <w:rsid w:val="001D5DB8"/>
    <w:rsid w:val="0020768A"/>
    <w:rsid w:val="00211296"/>
    <w:rsid w:val="00237C5F"/>
    <w:rsid w:val="00251ACF"/>
    <w:rsid w:val="0026406D"/>
    <w:rsid w:val="00266080"/>
    <w:rsid w:val="00277793"/>
    <w:rsid w:val="00277EC6"/>
    <w:rsid w:val="00295AB0"/>
    <w:rsid w:val="002C3740"/>
    <w:rsid w:val="002D0A40"/>
    <w:rsid w:val="002D30C5"/>
    <w:rsid w:val="002E281E"/>
    <w:rsid w:val="00305534"/>
    <w:rsid w:val="003373E8"/>
    <w:rsid w:val="00345A97"/>
    <w:rsid w:val="003534FD"/>
    <w:rsid w:val="003552A4"/>
    <w:rsid w:val="00361B3F"/>
    <w:rsid w:val="00361B4C"/>
    <w:rsid w:val="00366A9B"/>
    <w:rsid w:val="003849E4"/>
    <w:rsid w:val="00397A12"/>
    <w:rsid w:val="003B258C"/>
    <w:rsid w:val="003D390C"/>
    <w:rsid w:val="00401468"/>
    <w:rsid w:val="0040716E"/>
    <w:rsid w:val="00435D44"/>
    <w:rsid w:val="004532D9"/>
    <w:rsid w:val="004C554B"/>
    <w:rsid w:val="004D0787"/>
    <w:rsid w:val="005042F0"/>
    <w:rsid w:val="0051504A"/>
    <w:rsid w:val="005243CC"/>
    <w:rsid w:val="00577BF0"/>
    <w:rsid w:val="005A3FB9"/>
    <w:rsid w:val="005B78F6"/>
    <w:rsid w:val="005C4824"/>
    <w:rsid w:val="005E4B61"/>
    <w:rsid w:val="005F2A58"/>
    <w:rsid w:val="00671676"/>
    <w:rsid w:val="006B586A"/>
    <w:rsid w:val="00724577"/>
    <w:rsid w:val="00733CF0"/>
    <w:rsid w:val="0073567D"/>
    <w:rsid w:val="00746704"/>
    <w:rsid w:val="00752220"/>
    <w:rsid w:val="007626FD"/>
    <w:rsid w:val="0078796F"/>
    <w:rsid w:val="00796EA3"/>
    <w:rsid w:val="007A3713"/>
    <w:rsid w:val="007B7953"/>
    <w:rsid w:val="007C3759"/>
    <w:rsid w:val="007C5649"/>
    <w:rsid w:val="007D0518"/>
    <w:rsid w:val="007F031C"/>
    <w:rsid w:val="007F3E77"/>
    <w:rsid w:val="00803F35"/>
    <w:rsid w:val="00846304"/>
    <w:rsid w:val="00853DC5"/>
    <w:rsid w:val="008611BB"/>
    <w:rsid w:val="008857F0"/>
    <w:rsid w:val="008B4DA2"/>
    <w:rsid w:val="008B5691"/>
    <w:rsid w:val="008B7D56"/>
    <w:rsid w:val="008D657F"/>
    <w:rsid w:val="008E1CC4"/>
    <w:rsid w:val="008E453D"/>
    <w:rsid w:val="008E5F50"/>
    <w:rsid w:val="009069B6"/>
    <w:rsid w:val="0091397C"/>
    <w:rsid w:val="00930A89"/>
    <w:rsid w:val="00961F11"/>
    <w:rsid w:val="0097302F"/>
    <w:rsid w:val="00996263"/>
    <w:rsid w:val="00997DA1"/>
    <w:rsid w:val="009B3FF4"/>
    <w:rsid w:val="009C2832"/>
    <w:rsid w:val="009D5C72"/>
    <w:rsid w:val="009E2F21"/>
    <w:rsid w:val="00A42A39"/>
    <w:rsid w:val="00A622AC"/>
    <w:rsid w:val="00AA16C6"/>
    <w:rsid w:val="00AB0458"/>
    <w:rsid w:val="00AC223B"/>
    <w:rsid w:val="00AD34A8"/>
    <w:rsid w:val="00AD592C"/>
    <w:rsid w:val="00AF3B65"/>
    <w:rsid w:val="00B02CCC"/>
    <w:rsid w:val="00B12ECE"/>
    <w:rsid w:val="00B32CE0"/>
    <w:rsid w:val="00B4343B"/>
    <w:rsid w:val="00B530CC"/>
    <w:rsid w:val="00B53508"/>
    <w:rsid w:val="00B541B3"/>
    <w:rsid w:val="00B70CF5"/>
    <w:rsid w:val="00B72583"/>
    <w:rsid w:val="00B7371C"/>
    <w:rsid w:val="00B962C6"/>
    <w:rsid w:val="00B97D0B"/>
    <w:rsid w:val="00BA1763"/>
    <w:rsid w:val="00BA76F6"/>
    <w:rsid w:val="00BB78C0"/>
    <w:rsid w:val="00BC0F10"/>
    <w:rsid w:val="00C33427"/>
    <w:rsid w:val="00C34C86"/>
    <w:rsid w:val="00C77789"/>
    <w:rsid w:val="00C8681C"/>
    <w:rsid w:val="00C97B97"/>
    <w:rsid w:val="00CA027B"/>
    <w:rsid w:val="00CC084E"/>
    <w:rsid w:val="00CC2DF9"/>
    <w:rsid w:val="00CD030D"/>
    <w:rsid w:val="00CE004E"/>
    <w:rsid w:val="00D0504B"/>
    <w:rsid w:val="00D10959"/>
    <w:rsid w:val="00D11D48"/>
    <w:rsid w:val="00D52499"/>
    <w:rsid w:val="00D66944"/>
    <w:rsid w:val="00D74064"/>
    <w:rsid w:val="00D80206"/>
    <w:rsid w:val="00D911BF"/>
    <w:rsid w:val="00DA0D21"/>
    <w:rsid w:val="00DB5E2D"/>
    <w:rsid w:val="00DC72C6"/>
    <w:rsid w:val="00DF04F1"/>
    <w:rsid w:val="00E02FB6"/>
    <w:rsid w:val="00E030C1"/>
    <w:rsid w:val="00E116FE"/>
    <w:rsid w:val="00E11D76"/>
    <w:rsid w:val="00E1449B"/>
    <w:rsid w:val="00E16492"/>
    <w:rsid w:val="00E31BDF"/>
    <w:rsid w:val="00E344B7"/>
    <w:rsid w:val="00E477B7"/>
    <w:rsid w:val="00E5265E"/>
    <w:rsid w:val="00E84641"/>
    <w:rsid w:val="00EA21DA"/>
    <w:rsid w:val="00EA5061"/>
    <w:rsid w:val="00EE0F24"/>
    <w:rsid w:val="00EE4445"/>
    <w:rsid w:val="00F06EB4"/>
    <w:rsid w:val="00F07C3D"/>
    <w:rsid w:val="00F24C63"/>
    <w:rsid w:val="00F5155C"/>
    <w:rsid w:val="00F56745"/>
    <w:rsid w:val="00F671FB"/>
    <w:rsid w:val="00F75500"/>
    <w:rsid w:val="00F94372"/>
    <w:rsid w:val="00FC5D0A"/>
    <w:rsid w:val="00FE5EC8"/>
    <w:rsid w:val="00FE6241"/>
    <w:rsid w:val="00FF4070"/>
    <w:rsid w:val="0380296B"/>
    <w:rsid w:val="048B11F2"/>
    <w:rsid w:val="04BC65AF"/>
    <w:rsid w:val="1956667E"/>
    <w:rsid w:val="269B6004"/>
    <w:rsid w:val="37B5010C"/>
    <w:rsid w:val="3B3B37B7"/>
    <w:rsid w:val="3B853C63"/>
    <w:rsid w:val="3C1869AD"/>
    <w:rsid w:val="3C5D1041"/>
    <w:rsid w:val="49391BB4"/>
    <w:rsid w:val="49945A13"/>
    <w:rsid w:val="4A0A1512"/>
    <w:rsid w:val="4B023C33"/>
    <w:rsid w:val="4B977227"/>
    <w:rsid w:val="4FDC1F8A"/>
    <w:rsid w:val="53FA2490"/>
    <w:rsid w:val="57043CA9"/>
    <w:rsid w:val="5FE56F93"/>
    <w:rsid w:val="60B86669"/>
    <w:rsid w:val="699504F3"/>
    <w:rsid w:val="718866C1"/>
    <w:rsid w:val="74444A1E"/>
    <w:rsid w:val="7B3C1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Indent 2"/>
    <w:basedOn w:val="1"/>
    <w:qFormat/>
    <w:uiPriority w:val="0"/>
    <w:pPr>
      <w:spacing w:line="360" w:lineRule="auto"/>
      <w:ind w:firstLine="560" w:firstLineChars="200"/>
    </w:pPr>
    <w:rPr>
      <w:sz w:val="2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page number"/>
    <w:basedOn w:val="7"/>
    <w:qFormat/>
    <w:uiPriority w:val="0"/>
  </w:style>
  <w:style w:type="character" w:customStyle="1" w:styleId="9">
    <w:name w:val="页脚 字符"/>
    <w:basedOn w:val="7"/>
    <w:link w:val="3"/>
    <w:qFormat/>
    <w:uiPriority w:val="99"/>
    <w:rPr>
      <w:sz w:val="18"/>
      <w:szCs w:val="18"/>
    </w:rPr>
  </w:style>
  <w:style w:type="character" w:customStyle="1" w:styleId="10">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662</Words>
  <Characters>3775</Characters>
  <Lines>31</Lines>
  <Paragraphs>8</Paragraphs>
  <TotalTime>0</TotalTime>
  <ScaleCrop>false</ScaleCrop>
  <LinksUpToDate>false</LinksUpToDate>
  <CharactersWithSpaces>4429</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胡薇</cp:lastModifiedBy>
  <cp:lastPrinted>2023-12-12T01:50:00Z</cp:lastPrinted>
  <dcterms:modified xsi:type="dcterms:W3CDTF">2023-12-14T01:09:54Z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246B55D784124FDEBF43F678FD5C3804</vt:lpwstr>
  </property>
</Properties>
</file>