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AF622">
      <w:pPr>
        <w:snapToGrid w:val="0"/>
        <w:spacing w:line="360" w:lineRule="exact"/>
        <w:jc w:val="center"/>
        <w:rPr>
          <w:rFonts w:ascii="Times New Roman" w:hAnsi="Times New Roman" w:eastAsia="方正小标宋_GBK" w:cs="Times New Roman"/>
          <w:color w:val="252525" w:themeColor="text1" w:themeTint="D9"/>
          <w:sz w:val="28"/>
          <w:szCs w:val="28"/>
        </w:rPr>
      </w:pPr>
      <w:r>
        <w:rPr>
          <w:rFonts w:hint="eastAsia" w:ascii="Times New Roman" w:hAnsi="Times New Roman" w:eastAsia="方正小标宋_GBK" w:cs="Times New Roman"/>
          <w:color w:val="252525" w:themeColor="text1" w:themeTint="D9"/>
          <w:sz w:val="28"/>
          <w:szCs w:val="28"/>
        </w:rPr>
        <w:t>开州区温泉镇县坝村六社制灰用灰岩详查</w:t>
      </w:r>
      <w:r>
        <w:rPr>
          <w:rFonts w:ascii="Times New Roman" w:hAnsi="Times New Roman" w:eastAsia="方正小标宋_GBK" w:cs="Times New Roman"/>
          <w:color w:val="252525" w:themeColor="text1" w:themeTint="D9"/>
          <w:sz w:val="28"/>
          <w:szCs w:val="28"/>
        </w:rPr>
        <w:t>探矿权挂牌出让文件</w:t>
      </w:r>
    </w:p>
    <w:p w14:paraId="76BF7DD3">
      <w:pPr>
        <w:wordWrap w:val="0"/>
        <w:spacing w:line="360" w:lineRule="exact"/>
        <w:jc w:val="right"/>
        <w:rPr>
          <w:rFonts w:ascii="Times New Roman" w:hAnsi="Times New Roman" w:eastAsia="宋体" w:cs="Times New Roman"/>
          <w:b/>
          <w:color w:val="252525" w:themeColor="text1" w:themeTint="D9"/>
          <w:szCs w:val="21"/>
        </w:rPr>
      </w:pPr>
    </w:p>
    <w:p w14:paraId="740142AC">
      <w:pPr>
        <w:wordWrap w:val="0"/>
        <w:spacing w:line="360" w:lineRule="exact"/>
        <w:jc w:val="right"/>
        <w:rPr>
          <w:rFonts w:hint="default" w:ascii="Times New Roman" w:hAnsi="Times New Roman" w:eastAsia="方正仿宋_GBK" w:cs="Times New Roman"/>
          <w:color w:val="252525" w:themeColor="text1" w:themeTint="D9"/>
          <w:szCs w:val="21"/>
          <w:lang w:val="en-US" w:eastAsia="zh-CN"/>
        </w:rPr>
      </w:pPr>
      <w:r>
        <w:rPr>
          <w:rFonts w:ascii="Times New Roman" w:hAnsi="Times New Roman" w:eastAsia="方正仿宋_GBK" w:cs="Times New Roman"/>
          <w:b/>
          <w:color w:val="252525" w:themeColor="text1" w:themeTint="D9"/>
          <w:szCs w:val="21"/>
        </w:rPr>
        <w:t>公告序号：</w:t>
      </w:r>
      <w:r>
        <w:rPr>
          <w:rFonts w:hint="eastAsia" w:ascii="Times New Roman" w:hAnsi="Times New Roman" w:eastAsia="方正仿宋_GBK" w:cs="Times New Roman"/>
          <w:color w:val="252525" w:themeColor="text1" w:themeTint="D9"/>
          <w:sz w:val="22"/>
          <w:u w:val="none"/>
          <w:lang w:val="en-US" w:eastAsia="zh-CN"/>
        </w:rPr>
        <w:t>KZGT202401</w:t>
      </w:r>
    </w:p>
    <w:p w14:paraId="409E478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lang w:val="en-US" w:eastAsia="zh-CN"/>
        </w:rPr>
        <w:t>重庆市开州区</w:t>
      </w:r>
      <w:r>
        <w:rPr>
          <w:rFonts w:ascii="Times New Roman" w:hAnsi="Times New Roman" w:eastAsia="方正仿宋_GBK" w:cs="Times New Roman"/>
          <w:color w:val="252525" w:themeColor="text1" w:themeTint="D9"/>
          <w:szCs w:val="21"/>
        </w:rPr>
        <w:t>规划和自然资源局决定公开挂牌出让以下探矿权，并委托重庆市公共资源交易中心负责公开出让交易环节的组织实施，本次公开出让的探矿权采用网上交易方式。</w:t>
      </w:r>
    </w:p>
    <w:p w14:paraId="5AF6CF1D">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一、出让探矿权基本情况</w:t>
      </w:r>
    </w:p>
    <w:p w14:paraId="3E0FA0F7">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（一）公告时间：2024年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10</w:t>
      </w:r>
      <w:r>
        <w:rPr>
          <w:rFonts w:ascii="Times New Roman" w:hAnsi="Times New Roman" w:eastAsia="方正仿宋_GBK" w:cs="Times New Roman"/>
          <w:color w:val="252525" w:themeColor="text1" w:themeTint="D9"/>
          <w:szCs w:val="21"/>
          <w:u w:val="none"/>
        </w:rPr>
        <w:t>日-202</w:t>
      </w:r>
      <w:r>
        <w:rPr>
          <w:rFonts w:hint="eastAsia" w:ascii="Times New Roman" w:hAnsi="Times New Roman" w:eastAsia="方正仿宋_GBK" w:cs="Times New Roman"/>
          <w:color w:val="252525" w:themeColor="text1" w:themeTint="D9"/>
          <w:szCs w:val="21"/>
          <w:u w:val="none"/>
          <w:lang w:val="en-US" w:eastAsia="zh-CN"/>
        </w:rPr>
        <w:t>5</w:t>
      </w:r>
      <w:r>
        <w:rPr>
          <w:rFonts w:ascii="Times New Roman" w:hAnsi="Times New Roman" w:eastAsia="方正仿宋_GBK" w:cs="Times New Roman"/>
          <w:color w:val="252525" w:themeColor="text1" w:themeTint="D9"/>
          <w:szCs w:val="21"/>
          <w:u w:val="none"/>
        </w:rPr>
        <w:t>年</w:t>
      </w:r>
      <w:r>
        <w:rPr>
          <w:rFonts w:hint="eastAsia" w:ascii="Times New Roman" w:hAnsi="Times New Roman" w:eastAsia="方正仿宋_GBK" w:cs="Times New Roman"/>
          <w:color w:val="252525" w:themeColor="text1" w:themeTint="D9"/>
          <w:sz w:val="22"/>
          <w:u w:val="none"/>
          <w:lang w:val="en-US" w:eastAsia="zh-CN"/>
        </w:rPr>
        <w:t>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7</w:t>
      </w:r>
      <w:r>
        <w:rPr>
          <w:rFonts w:ascii="Times New Roman" w:hAnsi="Times New Roman" w:eastAsia="方正仿宋_GBK" w:cs="Times New Roman"/>
          <w:color w:val="252525" w:themeColor="text1" w:themeTint="D9"/>
          <w:szCs w:val="21"/>
        </w:rPr>
        <w:t>日；</w:t>
      </w:r>
    </w:p>
    <w:p w14:paraId="447C3021">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rPr>
        <w:t>（二）探矿权名称（暂定名）：</w:t>
      </w:r>
      <w:r>
        <w:rPr>
          <w:rFonts w:hint="default" w:ascii="Times New Roman" w:hAnsi="Times New Roman" w:eastAsia="方正仿宋_GBK" w:cs="Times New Roman"/>
          <w:color w:val="252525" w:themeColor="text1" w:themeTint="D9"/>
          <w:szCs w:val="21"/>
          <w:u w:val="none"/>
          <w:lang w:val="en-US" w:eastAsia="zh-CN"/>
        </w:rPr>
        <w:t>重庆市开州区温泉镇县坝村六社制灰用灰岩详查</w:t>
      </w:r>
      <w:r>
        <w:rPr>
          <w:rFonts w:ascii="Times New Roman" w:hAnsi="Times New Roman" w:eastAsia="方正仿宋_GBK" w:cs="Times New Roman"/>
          <w:color w:val="252525" w:themeColor="text1" w:themeTint="D9"/>
          <w:szCs w:val="21"/>
          <w:u w:val="none"/>
        </w:rPr>
        <w:t>；</w:t>
      </w:r>
    </w:p>
    <w:p w14:paraId="0C33B82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（三）地理位置：</w:t>
      </w:r>
      <w:r>
        <w:rPr>
          <w:rFonts w:hint="default" w:ascii="Times New Roman" w:hAnsi="Times New Roman" w:eastAsia="方正仿宋_GBK" w:cs="Times New Roman"/>
          <w:color w:val="252525" w:themeColor="text1" w:themeTint="D9"/>
          <w:szCs w:val="21"/>
          <w:u w:val="none"/>
          <w:lang w:val="en-US" w:eastAsia="zh-CN"/>
        </w:rPr>
        <w:t>重庆市开州区温泉镇县坝村六社</w:t>
      </w:r>
      <w:r>
        <w:rPr>
          <w:rFonts w:ascii="Times New Roman" w:hAnsi="Times New Roman" w:eastAsia="方正仿宋_GBK" w:cs="Times New Roman"/>
          <w:color w:val="252525" w:themeColor="text1" w:themeTint="D9"/>
          <w:szCs w:val="21"/>
          <w:u w:val="none"/>
        </w:rPr>
        <w:t>；</w:t>
      </w:r>
    </w:p>
    <w:p w14:paraId="4A60A7B8">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（四）勘查面积：</w:t>
      </w:r>
      <w:r>
        <w:rPr>
          <w:rFonts w:hint="default" w:ascii="Times New Roman" w:hAnsi="Times New Roman" w:eastAsia="方正仿宋_GBK" w:cs="Times New Roman"/>
          <w:color w:val="252525" w:themeColor="text1" w:themeTint="D9"/>
          <w:szCs w:val="21"/>
          <w:u w:val="none"/>
          <w:lang w:val="en-US" w:eastAsia="zh-CN"/>
        </w:rPr>
        <w:t>0.1386</w:t>
      </w:r>
      <w:r>
        <w:rPr>
          <w:rFonts w:ascii="Times New Roman" w:hAnsi="Times New Roman" w:eastAsia="方正仿宋_GBK" w:cs="Times New Roman"/>
          <w:color w:val="252525" w:themeColor="text1" w:themeTint="D9"/>
          <w:szCs w:val="21"/>
          <w:u w:val="none"/>
        </w:rPr>
        <w:t>平方公里；</w:t>
      </w:r>
    </w:p>
    <w:p w14:paraId="29F0DEC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（五）</w:t>
      </w:r>
      <w:r>
        <w:rPr>
          <w:rFonts w:hint="eastAsia" w:ascii="Times New Roman" w:hAnsi="Times New Roman" w:eastAsia="方正仿宋_GBK" w:cs="Times New Roman"/>
          <w:color w:val="252525" w:themeColor="text1" w:themeTint="D9"/>
          <w:szCs w:val="21"/>
          <w:u w:val="none"/>
        </w:rPr>
        <w:t>地质工作程度</w:t>
      </w:r>
      <w:r>
        <w:rPr>
          <w:rFonts w:ascii="Times New Roman" w:hAnsi="Times New Roman" w:eastAsia="方正仿宋_GBK" w:cs="Times New Roman"/>
          <w:color w:val="252525" w:themeColor="text1" w:themeTint="D9"/>
          <w:szCs w:val="21"/>
          <w:u w:val="none"/>
        </w:rPr>
        <w:t>：</w:t>
      </w:r>
      <w:r>
        <w:rPr>
          <w:rFonts w:hint="default" w:ascii="Times New Roman" w:hAnsi="Times New Roman" w:eastAsia="方正仿宋_GBK" w:cs="Times New Roman"/>
          <w:color w:val="252525" w:themeColor="text1" w:themeTint="D9"/>
          <w:szCs w:val="21"/>
          <w:u w:val="none"/>
          <w:lang w:val="en-US" w:eastAsia="zh-CN"/>
        </w:rPr>
        <w:t>草根阶段</w:t>
      </w:r>
      <w:r>
        <w:rPr>
          <w:rFonts w:ascii="Times New Roman" w:hAnsi="Times New Roman" w:eastAsia="方正仿宋_GBK" w:cs="Times New Roman"/>
          <w:color w:val="252525" w:themeColor="text1" w:themeTint="D9"/>
          <w:szCs w:val="21"/>
          <w:u w:val="none"/>
        </w:rPr>
        <w:t xml:space="preserve">； </w:t>
      </w:r>
    </w:p>
    <w:p w14:paraId="0BDB296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（六）勘查矿种：</w:t>
      </w:r>
      <w:r>
        <w:rPr>
          <w:rFonts w:hint="default" w:ascii="Times New Roman" w:hAnsi="Times New Roman" w:eastAsia="方正仿宋_GBK" w:cs="Times New Roman"/>
          <w:color w:val="252525" w:themeColor="text1" w:themeTint="D9"/>
          <w:szCs w:val="21"/>
          <w:u w:val="none"/>
          <w:lang w:val="en-US" w:eastAsia="zh-CN"/>
        </w:rPr>
        <w:t>制灰用灰岩</w:t>
      </w:r>
      <w:r>
        <w:rPr>
          <w:rFonts w:ascii="Times New Roman" w:hAnsi="Times New Roman" w:eastAsia="方正仿宋_GBK" w:cs="Times New Roman"/>
          <w:color w:val="252525" w:themeColor="text1" w:themeTint="D9"/>
          <w:szCs w:val="21"/>
          <w:u w:val="none"/>
        </w:rPr>
        <w:t>；</w:t>
      </w:r>
    </w:p>
    <w:p w14:paraId="18ACC310">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（七）出让年限：</w:t>
      </w:r>
      <w:r>
        <w:rPr>
          <w:rFonts w:hint="eastAsia" w:ascii="Times New Roman" w:hAnsi="Times New Roman" w:eastAsia="方正仿宋_GBK" w:cs="Times New Roman"/>
          <w:color w:val="252525" w:themeColor="text1" w:themeTint="D9"/>
          <w:sz w:val="22"/>
          <w:u w:val="none"/>
          <w:lang w:val="en-US" w:eastAsia="zh-CN"/>
        </w:rPr>
        <w:t>5年</w:t>
      </w:r>
      <w:r>
        <w:rPr>
          <w:rFonts w:ascii="Times New Roman" w:hAnsi="Times New Roman" w:eastAsia="方正仿宋_GBK" w:cs="Times New Roman"/>
          <w:color w:val="252525" w:themeColor="text1" w:themeTint="D9"/>
          <w:szCs w:val="21"/>
          <w:u w:val="none"/>
        </w:rPr>
        <w:t>（首设）；</w:t>
      </w:r>
    </w:p>
    <w:p w14:paraId="7DB852DD">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u w:val="none"/>
        </w:rPr>
        <w:t>（八）出让收益起始价：</w:t>
      </w:r>
      <w:r>
        <w:rPr>
          <w:rFonts w:hint="default" w:ascii="Times New Roman" w:hAnsi="Times New Roman" w:eastAsia="方正仿宋_GBK" w:cs="Times New Roman"/>
          <w:color w:val="252525" w:themeColor="text1" w:themeTint="D9"/>
          <w:sz w:val="22"/>
          <w:u w:val="none"/>
          <w:lang w:val="en-US" w:eastAsia="zh-CN"/>
        </w:rPr>
        <w:t>3322万元</w:t>
      </w:r>
      <w:r>
        <w:rPr>
          <w:rFonts w:ascii="Times New Roman" w:hAnsi="Times New Roman" w:eastAsia="方正仿宋_GBK" w:cs="Times New Roman"/>
          <w:color w:val="252525" w:themeColor="text1" w:themeTint="D9"/>
          <w:szCs w:val="21"/>
        </w:rPr>
        <w:t>；</w:t>
      </w:r>
    </w:p>
    <w:p w14:paraId="0761A82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（九）勘查范围坐标（2000坐标系）：</w:t>
      </w:r>
    </w:p>
    <w:tbl>
      <w:tblPr>
        <w:tblStyle w:val="8"/>
        <w:tblW w:w="7508" w:type="dxa"/>
        <w:jc w:val="center"/>
        <w:tblLayout w:type="fixed"/>
        <w:tblCellMar>
          <w:top w:w="0" w:type="dxa"/>
          <w:left w:w="108" w:type="dxa"/>
          <w:bottom w:w="0" w:type="dxa"/>
          <w:right w:w="108" w:type="dxa"/>
        </w:tblCellMar>
      </w:tblPr>
      <w:tblGrid>
        <w:gridCol w:w="1320"/>
        <w:gridCol w:w="3070"/>
        <w:gridCol w:w="3118"/>
      </w:tblGrid>
      <w:tr w14:paraId="5E6C4232">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257F93C1">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序号</w:t>
            </w:r>
          </w:p>
        </w:tc>
        <w:tc>
          <w:tcPr>
            <w:tcW w:w="3070" w:type="dxa"/>
            <w:tcBorders>
              <w:top w:val="single" w:color="auto" w:sz="4" w:space="0"/>
              <w:left w:val="nil"/>
              <w:bottom w:val="single" w:color="auto" w:sz="4" w:space="0"/>
              <w:right w:val="single" w:color="000000" w:sz="4" w:space="0"/>
            </w:tcBorders>
            <w:vAlign w:val="center"/>
          </w:tcPr>
          <w:p w14:paraId="4CF35A98">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经</w:t>
            </w:r>
            <w:r>
              <w:rPr>
                <w:rFonts w:hint="eastAsia" w:ascii="Times New Roman" w:hAnsi="Times New Roman" w:eastAsia="方正仿宋_GBK" w:cs="Times New Roman"/>
                <w:color w:val="252525" w:themeColor="text1" w:themeTint="D9"/>
                <w:kern w:val="0"/>
                <w:szCs w:val="21"/>
              </w:rPr>
              <w:t>度</w:t>
            </w:r>
          </w:p>
        </w:tc>
        <w:tc>
          <w:tcPr>
            <w:tcW w:w="3118" w:type="dxa"/>
            <w:tcBorders>
              <w:top w:val="single" w:color="auto" w:sz="4" w:space="0"/>
              <w:left w:val="nil"/>
              <w:bottom w:val="single" w:color="auto" w:sz="4" w:space="0"/>
              <w:right w:val="single" w:color="auto" w:sz="4" w:space="0"/>
            </w:tcBorders>
            <w:vAlign w:val="center"/>
          </w:tcPr>
          <w:p w14:paraId="5482B384">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纬</w:t>
            </w:r>
            <w:r>
              <w:rPr>
                <w:rFonts w:hint="eastAsia" w:ascii="Times New Roman" w:hAnsi="Times New Roman" w:eastAsia="方正仿宋_GBK" w:cs="Times New Roman"/>
                <w:color w:val="252525" w:themeColor="text1" w:themeTint="D9"/>
                <w:kern w:val="0"/>
                <w:szCs w:val="21"/>
              </w:rPr>
              <w:t>度</w:t>
            </w:r>
          </w:p>
        </w:tc>
      </w:tr>
      <w:tr w14:paraId="6C4DE798">
        <w:tblPrEx>
          <w:tblCellMar>
            <w:top w:w="0" w:type="dxa"/>
            <w:left w:w="108" w:type="dxa"/>
            <w:bottom w:w="0" w:type="dxa"/>
            <w:right w:w="108" w:type="dxa"/>
          </w:tblCellMar>
        </w:tblPrEx>
        <w:trPr>
          <w:trHeight w:val="454" w:hRule="exact"/>
          <w:jc w:val="center"/>
        </w:trPr>
        <w:tc>
          <w:tcPr>
            <w:tcW w:w="1320" w:type="dxa"/>
            <w:tcBorders>
              <w:top w:val="nil"/>
              <w:left w:val="single" w:color="auto" w:sz="4" w:space="0"/>
              <w:bottom w:val="single" w:color="auto" w:sz="4" w:space="0"/>
              <w:right w:val="single" w:color="auto" w:sz="4" w:space="0"/>
            </w:tcBorders>
            <w:vAlign w:val="center"/>
          </w:tcPr>
          <w:p w14:paraId="78CD1707">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1</w:t>
            </w:r>
          </w:p>
        </w:tc>
        <w:tc>
          <w:tcPr>
            <w:tcW w:w="3070" w:type="dxa"/>
            <w:tcBorders>
              <w:top w:val="single" w:color="auto" w:sz="4" w:space="0"/>
              <w:left w:val="nil"/>
              <w:bottom w:val="single" w:color="auto" w:sz="4" w:space="0"/>
              <w:right w:val="single" w:color="000000" w:sz="4" w:space="0"/>
            </w:tcBorders>
            <w:vAlign w:val="center"/>
          </w:tcPr>
          <w:p w14:paraId="713E22CB">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108°27′21.746″</w:t>
            </w:r>
          </w:p>
        </w:tc>
        <w:tc>
          <w:tcPr>
            <w:tcW w:w="3118" w:type="dxa"/>
            <w:tcBorders>
              <w:top w:val="nil"/>
              <w:left w:val="nil"/>
              <w:bottom w:val="single" w:color="auto" w:sz="4" w:space="0"/>
              <w:right w:val="single" w:color="auto" w:sz="4" w:space="0"/>
            </w:tcBorders>
            <w:vAlign w:val="center"/>
          </w:tcPr>
          <w:p w14:paraId="73164CE9">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31°22′16.303″</w:t>
            </w:r>
          </w:p>
        </w:tc>
      </w:tr>
      <w:tr w14:paraId="7246D8CC">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3587F221">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w:t>
            </w:r>
          </w:p>
        </w:tc>
        <w:tc>
          <w:tcPr>
            <w:tcW w:w="3070" w:type="dxa"/>
            <w:tcBorders>
              <w:top w:val="single" w:color="auto" w:sz="4" w:space="0"/>
              <w:left w:val="single" w:color="auto" w:sz="4" w:space="0"/>
              <w:bottom w:val="single" w:color="auto" w:sz="4" w:space="0"/>
              <w:right w:val="single" w:color="auto" w:sz="4" w:space="0"/>
            </w:tcBorders>
            <w:vAlign w:val="center"/>
          </w:tcPr>
          <w:p w14:paraId="3DE0B911">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108°27′26.817″</w:t>
            </w:r>
          </w:p>
        </w:tc>
        <w:tc>
          <w:tcPr>
            <w:tcW w:w="3118" w:type="dxa"/>
            <w:tcBorders>
              <w:top w:val="single" w:color="auto" w:sz="4" w:space="0"/>
              <w:left w:val="single" w:color="auto" w:sz="4" w:space="0"/>
              <w:bottom w:val="single" w:color="auto" w:sz="4" w:space="0"/>
              <w:right w:val="single" w:color="auto" w:sz="4" w:space="0"/>
            </w:tcBorders>
            <w:vAlign w:val="center"/>
          </w:tcPr>
          <w:p w14:paraId="730DC4EF">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31°22′18.471″</w:t>
            </w:r>
          </w:p>
        </w:tc>
      </w:tr>
      <w:tr w14:paraId="55164F0A">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5DF827F7">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w:t>
            </w:r>
          </w:p>
        </w:tc>
        <w:tc>
          <w:tcPr>
            <w:tcW w:w="3070" w:type="dxa"/>
            <w:tcBorders>
              <w:top w:val="single" w:color="auto" w:sz="4" w:space="0"/>
              <w:left w:val="single" w:color="auto" w:sz="4" w:space="0"/>
              <w:bottom w:val="single" w:color="auto" w:sz="4" w:space="0"/>
              <w:right w:val="single" w:color="auto" w:sz="4" w:space="0"/>
            </w:tcBorders>
            <w:vAlign w:val="center"/>
          </w:tcPr>
          <w:p w14:paraId="354206FF">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108°27′30.537″</w:t>
            </w:r>
          </w:p>
        </w:tc>
        <w:tc>
          <w:tcPr>
            <w:tcW w:w="3118" w:type="dxa"/>
            <w:tcBorders>
              <w:top w:val="single" w:color="auto" w:sz="4" w:space="0"/>
              <w:left w:val="single" w:color="auto" w:sz="4" w:space="0"/>
              <w:bottom w:val="single" w:color="auto" w:sz="4" w:space="0"/>
              <w:right w:val="single" w:color="auto" w:sz="4" w:space="0"/>
            </w:tcBorders>
            <w:vAlign w:val="center"/>
          </w:tcPr>
          <w:p w14:paraId="42D05A28">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31°22′18.585″</w:t>
            </w:r>
          </w:p>
        </w:tc>
      </w:tr>
      <w:tr w14:paraId="1110C8C0">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75FF9B83">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w:t>
            </w:r>
          </w:p>
        </w:tc>
        <w:tc>
          <w:tcPr>
            <w:tcW w:w="3070" w:type="dxa"/>
            <w:tcBorders>
              <w:top w:val="single" w:color="auto" w:sz="4" w:space="0"/>
              <w:left w:val="single" w:color="auto" w:sz="4" w:space="0"/>
              <w:bottom w:val="single" w:color="auto" w:sz="4" w:space="0"/>
              <w:right w:val="single" w:color="auto" w:sz="4" w:space="0"/>
            </w:tcBorders>
            <w:vAlign w:val="center"/>
          </w:tcPr>
          <w:p w14:paraId="652DFFB5">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108°27′33.581″</w:t>
            </w:r>
          </w:p>
        </w:tc>
        <w:tc>
          <w:tcPr>
            <w:tcW w:w="3118" w:type="dxa"/>
            <w:tcBorders>
              <w:top w:val="single" w:color="auto" w:sz="4" w:space="0"/>
              <w:left w:val="single" w:color="auto" w:sz="4" w:space="0"/>
              <w:bottom w:val="single" w:color="auto" w:sz="4" w:space="0"/>
              <w:right w:val="single" w:color="auto" w:sz="4" w:space="0"/>
            </w:tcBorders>
            <w:vAlign w:val="center"/>
          </w:tcPr>
          <w:p w14:paraId="31043A04">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31°22′17.716″</w:t>
            </w:r>
          </w:p>
        </w:tc>
      </w:tr>
      <w:tr w14:paraId="162AC4E2">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5E8A1BE7">
            <w:pPr>
              <w:widowControl/>
              <w:spacing w:line="360" w:lineRule="exact"/>
              <w:jc w:val="center"/>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5</w:t>
            </w:r>
          </w:p>
        </w:tc>
        <w:tc>
          <w:tcPr>
            <w:tcW w:w="3070" w:type="dxa"/>
            <w:tcBorders>
              <w:top w:val="single" w:color="auto" w:sz="4" w:space="0"/>
              <w:left w:val="single" w:color="auto" w:sz="4" w:space="0"/>
              <w:bottom w:val="single" w:color="auto" w:sz="4" w:space="0"/>
              <w:right w:val="single" w:color="auto" w:sz="4" w:space="0"/>
            </w:tcBorders>
            <w:vAlign w:val="center"/>
          </w:tcPr>
          <w:p w14:paraId="1F58A8D1">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108°27′36.940″</w:t>
            </w:r>
          </w:p>
        </w:tc>
        <w:tc>
          <w:tcPr>
            <w:tcW w:w="3118" w:type="dxa"/>
            <w:tcBorders>
              <w:top w:val="single" w:color="auto" w:sz="4" w:space="0"/>
              <w:left w:val="single" w:color="auto" w:sz="4" w:space="0"/>
              <w:bottom w:val="single" w:color="auto" w:sz="4" w:space="0"/>
              <w:right w:val="single" w:color="auto" w:sz="4" w:space="0"/>
            </w:tcBorders>
            <w:vAlign w:val="center"/>
          </w:tcPr>
          <w:p w14:paraId="1C5F920C">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31°22′18.284″</w:t>
            </w:r>
          </w:p>
        </w:tc>
      </w:tr>
      <w:tr w14:paraId="5522AE49">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33A6E3DC">
            <w:pPr>
              <w:widowControl/>
              <w:spacing w:line="360" w:lineRule="exact"/>
              <w:jc w:val="center"/>
              <w:rPr>
                <w:rFonts w:hint="eastAsia" w:ascii="Times New Roman" w:hAnsi="Times New Roman" w:eastAsia="方正仿宋_GBK" w:cs="Times New Roman"/>
                <w:color w:val="252525" w:themeColor="text1" w:themeTint="D9"/>
                <w:kern w:val="0"/>
                <w:szCs w:val="21"/>
                <w:lang w:val="en-US" w:eastAsia="zh-CN"/>
              </w:rPr>
            </w:pPr>
            <w:r>
              <w:rPr>
                <w:rFonts w:hint="eastAsia" w:ascii="Times New Roman" w:hAnsi="Times New Roman" w:eastAsia="方正仿宋_GBK" w:cs="Times New Roman"/>
                <w:color w:val="252525" w:themeColor="text1" w:themeTint="D9"/>
                <w:kern w:val="0"/>
                <w:szCs w:val="21"/>
                <w:lang w:val="en-US" w:eastAsia="zh-CN"/>
              </w:rPr>
              <w:t>6</w:t>
            </w:r>
          </w:p>
        </w:tc>
        <w:tc>
          <w:tcPr>
            <w:tcW w:w="3070" w:type="dxa"/>
            <w:tcBorders>
              <w:top w:val="single" w:color="auto" w:sz="4" w:space="0"/>
              <w:left w:val="single" w:color="auto" w:sz="4" w:space="0"/>
              <w:bottom w:val="single" w:color="auto" w:sz="4" w:space="0"/>
              <w:right w:val="single" w:color="auto" w:sz="4" w:space="0"/>
            </w:tcBorders>
            <w:vAlign w:val="center"/>
          </w:tcPr>
          <w:p w14:paraId="584C7173">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108°27′40.225″</w:t>
            </w:r>
          </w:p>
        </w:tc>
        <w:tc>
          <w:tcPr>
            <w:tcW w:w="3118" w:type="dxa"/>
            <w:tcBorders>
              <w:top w:val="single" w:color="auto" w:sz="4" w:space="0"/>
              <w:left w:val="single" w:color="auto" w:sz="4" w:space="0"/>
              <w:bottom w:val="single" w:color="auto" w:sz="4" w:space="0"/>
              <w:right w:val="single" w:color="auto" w:sz="4" w:space="0"/>
            </w:tcBorders>
            <w:vAlign w:val="center"/>
          </w:tcPr>
          <w:p w14:paraId="0ABED528">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31°22′15.555″</w:t>
            </w:r>
          </w:p>
        </w:tc>
      </w:tr>
      <w:tr w14:paraId="1E70022F">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76EC1A81">
            <w:pPr>
              <w:widowControl/>
              <w:spacing w:line="360" w:lineRule="exact"/>
              <w:jc w:val="center"/>
              <w:rPr>
                <w:rFonts w:hint="eastAsia" w:ascii="Times New Roman" w:hAnsi="Times New Roman" w:eastAsia="方正仿宋_GBK" w:cs="Times New Roman"/>
                <w:color w:val="252525" w:themeColor="text1" w:themeTint="D9"/>
                <w:kern w:val="0"/>
                <w:szCs w:val="21"/>
                <w:lang w:val="en-US" w:eastAsia="zh-CN"/>
              </w:rPr>
            </w:pPr>
            <w:r>
              <w:rPr>
                <w:rFonts w:hint="eastAsia" w:ascii="Times New Roman" w:hAnsi="Times New Roman" w:eastAsia="方正仿宋_GBK" w:cs="Times New Roman"/>
                <w:color w:val="252525" w:themeColor="text1" w:themeTint="D9"/>
                <w:kern w:val="0"/>
                <w:szCs w:val="21"/>
                <w:lang w:val="en-US" w:eastAsia="zh-CN"/>
              </w:rPr>
              <w:t>7</w:t>
            </w:r>
          </w:p>
        </w:tc>
        <w:tc>
          <w:tcPr>
            <w:tcW w:w="3070" w:type="dxa"/>
            <w:tcBorders>
              <w:top w:val="single" w:color="auto" w:sz="4" w:space="0"/>
              <w:left w:val="single" w:color="auto" w:sz="4" w:space="0"/>
              <w:bottom w:val="single" w:color="auto" w:sz="4" w:space="0"/>
              <w:right w:val="single" w:color="auto" w:sz="4" w:space="0"/>
            </w:tcBorders>
            <w:vAlign w:val="center"/>
          </w:tcPr>
          <w:p w14:paraId="631C75A7">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108°27′32.426″</w:t>
            </w:r>
          </w:p>
        </w:tc>
        <w:tc>
          <w:tcPr>
            <w:tcW w:w="3118" w:type="dxa"/>
            <w:tcBorders>
              <w:top w:val="single" w:color="auto" w:sz="4" w:space="0"/>
              <w:left w:val="single" w:color="auto" w:sz="4" w:space="0"/>
              <w:bottom w:val="single" w:color="auto" w:sz="4" w:space="0"/>
              <w:right w:val="single" w:color="auto" w:sz="4" w:space="0"/>
            </w:tcBorders>
            <w:vAlign w:val="center"/>
          </w:tcPr>
          <w:p w14:paraId="06A39619">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31°22′07.382″</w:t>
            </w:r>
          </w:p>
        </w:tc>
      </w:tr>
      <w:tr w14:paraId="40D39564">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3BEFE933">
            <w:pPr>
              <w:widowControl/>
              <w:spacing w:line="360" w:lineRule="exact"/>
              <w:jc w:val="center"/>
              <w:rPr>
                <w:rFonts w:hint="eastAsia" w:ascii="Times New Roman" w:hAnsi="Times New Roman" w:eastAsia="方正仿宋_GBK" w:cs="Times New Roman"/>
                <w:color w:val="252525" w:themeColor="text1" w:themeTint="D9"/>
                <w:kern w:val="0"/>
                <w:szCs w:val="21"/>
                <w:lang w:val="en-US" w:eastAsia="zh-CN"/>
              </w:rPr>
            </w:pPr>
            <w:r>
              <w:rPr>
                <w:rFonts w:hint="eastAsia" w:ascii="Times New Roman" w:hAnsi="Times New Roman" w:eastAsia="方正仿宋_GBK" w:cs="Times New Roman"/>
                <w:color w:val="252525" w:themeColor="text1" w:themeTint="D9"/>
                <w:kern w:val="0"/>
                <w:szCs w:val="21"/>
                <w:lang w:val="en-US" w:eastAsia="zh-CN"/>
              </w:rPr>
              <w:t>8</w:t>
            </w:r>
          </w:p>
        </w:tc>
        <w:tc>
          <w:tcPr>
            <w:tcW w:w="3070" w:type="dxa"/>
            <w:tcBorders>
              <w:top w:val="single" w:color="auto" w:sz="4" w:space="0"/>
              <w:left w:val="single" w:color="auto" w:sz="4" w:space="0"/>
              <w:bottom w:val="single" w:color="auto" w:sz="4" w:space="0"/>
              <w:right w:val="single" w:color="auto" w:sz="4" w:space="0"/>
            </w:tcBorders>
            <w:vAlign w:val="center"/>
          </w:tcPr>
          <w:p w14:paraId="4B7D0AC2">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108°27′32.410″</w:t>
            </w:r>
          </w:p>
        </w:tc>
        <w:tc>
          <w:tcPr>
            <w:tcW w:w="3118" w:type="dxa"/>
            <w:tcBorders>
              <w:top w:val="single" w:color="auto" w:sz="4" w:space="0"/>
              <w:left w:val="single" w:color="auto" w:sz="4" w:space="0"/>
              <w:bottom w:val="single" w:color="auto" w:sz="4" w:space="0"/>
              <w:right w:val="single" w:color="auto" w:sz="4" w:space="0"/>
            </w:tcBorders>
            <w:vAlign w:val="center"/>
          </w:tcPr>
          <w:p w14:paraId="2C672AE4">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31°22′04.058″</w:t>
            </w:r>
          </w:p>
        </w:tc>
      </w:tr>
      <w:tr w14:paraId="6E8206EB">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239D0B96">
            <w:pPr>
              <w:widowControl/>
              <w:spacing w:line="360" w:lineRule="exact"/>
              <w:jc w:val="center"/>
              <w:rPr>
                <w:rFonts w:hint="eastAsia" w:ascii="Times New Roman" w:hAnsi="Times New Roman" w:eastAsia="方正仿宋_GBK" w:cs="Times New Roman"/>
                <w:color w:val="252525" w:themeColor="text1" w:themeTint="D9"/>
                <w:kern w:val="0"/>
                <w:szCs w:val="21"/>
                <w:lang w:val="en-US" w:eastAsia="zh-CN"/>
              </w:rPr>
            </w:pPr>
            <w:r>
              <w:rPr>
                <w:rFonts w:hint="eastAsia" w:ascii="Times New Roman" w:hAnsi="Times New Roman" w:eastAsia="方正仿宋_GBK" w:cs="Times New Roman"/>
                <w:color w:val="252525" w:themeColor="text1" w:themeTint="D9"/>
                <w:kern w:val="0"/>
                <w:szCs w:val="21"/>
                <w:lang w:val="en-US" w:eastAsia="zh-CN"/>
              </w:rPr>
              <w:t>9</w:t>
            </w:r>
          </w:p>
        </w:tc>
        <w:tc>
          <w:tcPr>
            <w:tcW w:w="3070" w:type="dxa"/>
            <w:tcBorders>
              <w:top w:val="single" w:color="auto" w:sz="4" w:space="0"/>
              <w:left w:val="single" w:color="auto" w:sz="4" w:space="0"/>
              <w:bottom w:val="single" w:color="auto" w:sz="4" w:space="0"/>
              <w:right w:val="single" w:color="auto" w:sz="4" w:space="0"/>
            </w:tcBorders>
            <w:vAlign w:val="center"/>
          </w:tcPr>
          <w:p w14:paraId="63A8E41A">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108°27′25.132″</w:t>
            </w:r>
          </w:p>
        </w:tc>
        <w:tc>
          <w:tcPr>
            <w:tcW w:w="3118" w:type="dxa"/>
            <w:tcBorders>
              <w:top w:val="single" w:color="auto" w:sz="4" w:space="0"/>
              <w:left w:val="single" w:color="auto" w:sz="4" w:space="0"/>
              <w:bottom w:val="single" w:color="auto" w:sz="4" w:space="0"/>
              <w:right w:val="single" w:color="auto" w:sz="4" w:space="0"/>
            </w:tcBorders>
            <w:vAlign w:val="center"/>
          </w:tcPr>
          <w:p w14:paraId="51901487">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31°22′03.920″</w:t>
            </w:r>
          </w:p>
        </w:tc>
      </w:tr>
      <w:tr w14:paraId="18EB0364">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14:paraId="1464F688">
            <w:pPr>
              <w:widowControl/>
              <w:spacing w:line="360" w:lineRule="exact"/>
              <w:jc w:val="center"/>
              <w:rPr>
                <w:rFonts w:hint="default" w:ascii="Times New Roman" w:hAnsi="Times New Roman" w:eastAsia="方正仿宋_GBK" w:cs="Times New Roman"/>
                <w:color w:val="252525" w:themeColor="text1" w:themeTint="D9"/>
                <w:kern w:val="0"/>
                <w:szCs w:val="21"/>
                <w:lang w:val="en-US" w:eastAsia="zh-CN"/>
              </w:rPr>
            </w:pPr>
            <w:r>
              <w:rPr>
                <w:rFonts w:hint="eastAsia" w:ascii="Times New Roman" w:hAnsi="Times New Roman" w:eastAsia="方正仿宋_GBK" w:cs="Times New Roman"/>
                <w:color w:val="252525" w:themeColor="text1" w:themeTint="D9"/>
                <w:kern w:val="0"/>
                <w:szCs w:val="21"/>
                <w:lang w:val="en-US" w:eastAsia="zh-CN"/>
              </w:rPr>
              <w:t>10</w:t>
            </w:r>
          </w:p>
        </w:tc>
        <w:tc>
          <w:tcPr>
            <w:tcW w:w="3070" w:type="dxa"/>
            <w:tcBorders>
              <w:top w:val="single" w:color="auto" w:sz="4" w:space="0"/>
              <w:left w:val="single" w:color="auto" w:sz="4" w:space="0"/>
              <w:bottom w:val="single" w:color="auto" w:sz="4" w:space="0"/>
              <w:right w:val="single" w:color="auto" w:sz="4" w:space="0"/>
            </w:tcBorders>
            <w:vAlign w:val="center"/>
          </w:tcPr>
          <w:p w14:paraId="040184F5">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108°27′24.263″</w:t>
            </w:r>
          </w:p>
        </w:tc>
        <w:tc>
          <w:tcPr>
            <w:tcW w:w="3118" w:type="dxa"/>
            <w:tcBorders>
              <w:top w:val="single" w:color="auto" w:sz="4" w:space="0"/>
              <w:left w:val="single" w:color="auto" w:sz="4" w:space="0"/>
              <w:bottom w:val="single" w:color="auto" w:sz="4" w:space="0"/>
              <w:right w:val="single" w:color="auto" w:sz="4" w:space="0"/>
            </w:tcBorders>
            <w:vAlign w:val="center"/>
          </w:tcPr>
          <w:p w14:paraId="79E17C7C">
            <w:pPr>
              <w:widowControl/>
              <w:spacing w:line="360" w:lineRule="exact"/>
              <w:jc w:val="center"/>
              <w:rPr>
                <w:rFonts w:ascii="Times New Roman" w:hAnsi="Times New Roman" w:eastAsia="方正仿宋_GBK" w:cs="Times New Roman"/>
                <w:color w:val="252525" w:themeColor="text1" w:themeTint="D9"/>
                <w:kern w:val="0"/>
                <w:szCs w:val="21"/>
              </w:rPr>
            </w:pPr>
            <w:r>
              <w:rPr>
                <w:rFonts w:hint="default" w:ascii="Times New Roman" w:hAnsi="Times New Roman" w:eastAsia="方正仿宋_GBK" w:cs="Times New Roman"/>
                <w:color w:val="252525" w:themeColor="text1" w:themeTint="D9"/>
                <w:kern w:val="0"/>
                <w:szCs w:val="21"/>
                <w:lang w:val="en-US" w:eastAsia="zh-CN"/>
              </w:rPr>
              <w:t>31°22′10.229″</w:t>
            </w:r>
          </w:p>
        </w:tc>
      </w:tr>
    </w:tbl>
    <w:p w14:paraId="1AB73CA3">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kern w:val="0"/>
          <w:szCs w:val="21"/>
        </w:rPr>
        <w:t xml:space="preserve">二、出让人、交易平台联系方式 </w:t>
      </w:r>
    </w:p>
    <w:p w14:paraId="6298133F">
      <w:pPr>
        <w:spacing w:line="360" w:lineRule="exact"/>
        <w:ind w:firstLine="420" w:firstLineChars="200"/>
        <w:rPr>
          <w:rFonts w:ascii="Times New Roman" w:hAnsi="Times New Roman" w:eastAsia="方正楷体_GBK" w:cs="方正楷体_GBK"/>
          <w:b/>
          <w:bCs/>
          <w:color w:val="252525" w:themeColor="text1" w:themeTint="D9"/>
          <w:szCs w:val="21"/>
        </w:rPr>
      </w:pPr>
      <w:r>
        <w:rPr>
          <w:rFonts w:hint="eastAsia" w:ascii="Times New Roman" w:hAnsi="Times New Roman" w:eastAsia="方正楷体_GBK" w:cs="方正楷体_GBK"/>
          <w:color w:val="252525" w:themeColor="text1" w:themeTint="D9"/>
          <w:kern w:val="0"/>
          <w:szCs w:val="21"/>
        </w:rPr>
        <w:t xml:space="preserve">（一）出让人 </w:t>
      </w:r>
    </w:p>
    <w:p w14:paraId="41A67028">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本宗探矿权出让人为</w:t>
      </w:r>
      <w:r>
        <w:rPr>
          <w:rFonts w:hint="eastAsia" w:ascii="Times New Roman" w:hAnsi="Times New Roman" w:eastAsia="方正仿宋_GBK" w:cs="Times New Roman"/>
          <w:color w:val="252525" w:themeColor="text1" w:themeTint="D9"/>
          <w:kern w:val="0"/>
          <w:szCs w:val="21"/>
          <w:lang w:eastAsia="zh-CN"/>
        </w:rPr>
        <w:t>重庆市开州区</w:t>
      </w:r>
      <w:r>
        <w:rPr>
          <w:rFonts w:ascii="Times New Roman" w:hAnsi="Times New Roman" w:eastAsia="方正仿宋_GBK" w:cs="Times New Roman"/>
          <w:color w:val="252525" w:themeColor="text1" w:themeTint="D9"/>
          <w:kern w:val="0"/>
          <w:szCs w:val="21"/>
        </w:rPr>
        <w:t>规划和自然资源局。</w:t>
      </w:r>
    </w:p>
    <w:p w14:paraId="0FB79F4F">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rPr>
        <w:t>地址：</w:t>
      </w:r>
      <w:r>
        <w:rPr>
          <w:rFonts w:hint="default" w:ascii="Times New Roman" w:hAnsi="Times New Roman" w:eastAsia="方正仿宋_GBK" w:cs="Times New Roman"/>
          <w:color w:val="252525" w:themeColor="text1" w:themeTint="D9"/>
          <w:kern w:val="0"/>
          <w:szCs w:val="21"/>
          <w:u w:val="none"/>
          <w:lang w:eastAsia="zh-CN"/>
        </w:rPr>
        <w:t>重庆市开州区开州大道（中）</w:t>
      </w:r>
      <w:r>
        <w:rPr>
          <w:rFonts w:hint="default" w:ascii="Times New Roman" w:hAnsi="Times New Roman" w:eastAsia="方正仿宋_GBK" w:cs="Times New Roman"/>
          <w:color w:val="252525" w:themeColor="text1" w:themeTint="D9"/>
          <w:kern w:val="0"/>
          <w:szCs w:val="21"/>
          <w:u w:val="none"/>
          <w:lang w:val="en-US" w:eastAsia="zh-CN"/>
        </w:rPr>
        <w:t>189号</w:t>
      </w:r>
      <w:r>
        <w:rPr>
          <w:rFonts w:hint="eastAsia" w:ascii="Times New Roman" w:hAnsi="Times New Roman" w:eastAsia="方正仿宋_GBK" w:cs="Times New Roman"/>
          <w:color w:val="252525" w:themeColor="text1" w:themeTint="D9"/>
          <w:kern w:val="0"/>
          <w:szCs w:val="21"/>
          <w:u w:val="none"/>
          <w:lang w:val="en-US" w:eastAsia="zh-CN"/>
        </w:rPr>
        <w:t>。</w:t>
      </w:r>
    </w:p>
    <w:p w14:paraId="2F19943D">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u w:val="none"/>
        </w:rPr>
        <w:t>联系人：</w:t>
      </w:r>
      <w:r>
        <w:rPr>
          <w:rFonts w:hint="eastAsia" w:ascii="Times New Roman" w:hAnsi="Times New Roman" w:eastAsia="方正仿宋_GBK" w:cs="Times New Roman"/>
          <w:color w:val="252525" w:themeColor="text1" w:themeTint="D9"/>
          <w:sz w:val="22"/>
          <w:u w:val="none"/>
          <w:lang w:eastAsia="zh-CN"/>
        </w:rPr>
        <w:t>陈老师</w:t>
      </w:r>
      <w:r>
        <w:rPr>
          <w:rFonts w:ascii="Times New Roman" w:hAnsi="Times New Roman" w:eastAsia="方正仿宋_GBK" w:cs="Times New Roman"/>
          <w:color w:val="252525" w:themeColor="text1" w:themeTint="D9"/>
          <w:kern w:val="0"/>
          <w:szCs w:val="21"/>
          <w:u w:val="none"/>
        </w:rPr>
        <w:t>，联系电话</w:t>
      </w:r>
      <w:r>
        <w:rPr>
          <w:rFonts w:hint="eastAsia" w:ascii="Times New Roman" w:hAnsi="Times New Roman" w:eastAsia="方正仿宋_GBK" w:cs="Times New Roman"/>
          <w:color w:val="252525" w:themeColor="text1" w:themeTint="D9"/>
          <w:kern w:val="0"/>
          <w:szCs w:val="21"/>
          <w:u w:val="none"/>
          <w:lang w:eastAsia="zh-CN"/>
        </w:rPr>
        <w:t>：</w:t>
      </w:r>
      <w:r>
        <w:rPr>
          <w:rFonts w:hint="eastAsia" w:ascii="Times New Roman" w:hAnsi="Times New Roman" w:eastAsia="方正仿宋_GBK" w:cs="Times New Roman"/>
          <w:color w:val="252525" w:themeColor="text1" w:themeTint="D9"/>
          <w:sz w:val="22"/>
          <w:u w:val="none"/>
          <w:lang w:val="en-US" w:eastAsia="zh-CN"/>
        </w:rPr>
        <w:t>023-52299085</w:t>
      </w:r>
      <w:r>
        <w:rPr>
          <w:rFonts w:ascii="Times New Roman" w:hAnsi="Times New Roman" w:eastAsia="方正仿宋_GBK" w:cs="Times New Roman"/>
          <w:color w:val="252525" w:themeColor="text1" w:themeTint="D9"/>
          <w:kern w:val="0"/>
          <w:szCs w:val="21"/>
        </w:rPr>
        <w:t>。</w:t>
      </w:r>
    </w:p>
    <w:p w14:paraId="171B7464">
      <w:pPr>
        <w:spacing w:line="360" w:lineRule="exact"/>
        <w:ind w:firstLine="420" w:firstLineChars="200"/>
        <w:rPr>
          <w:rFonts w:ascii="Times New Roman" w:hAnsi="Times New Roman" w:eastAsia="方正楷体_GBK" w:cs="方正楷体_GBK"/>
          <w:color w:val="252525" w:themeColor="text1" w:themeTint="D9"/>
          <w:kern w:val="0"/>
          <w:szCs w:val="21"/>
        </w:rPr>
      </w:pPr>
      <w:r>
        <w:rPr>
          <w:rFonts w:ascii="Times New Roman" w:hAnsi="Times New Roman" w:eastAsia="方正楷体_GBK" w:cs="方正楷体_GBK"/>
          <w:color w:val="252525" w:themeColor="text1" w:themeTint="D9"/>
          <w:kern w:val="0"/>
          <w:szCs w:val="21"/>
        </w:rPr>
        <w:t xml:space="preserve">（二）交易平台 </w:t>
      </w:r>
    </w:p>
    <w:p w14:paraId="596B580C">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本宗探矿权交易平台为重庆市公共资源交易中心。</w:t>
      </w:r>
    </w:p>
    <w:p w14:paraId="0B54E60E">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14:paraId="21A4DAF4">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联系人：王老师，联系电话023-63628117。</w:t>
      </w:r>
    </w:p>
    <w:p w14:paraId="19235C7A">
      <w:pPr>
        <w:spacing w:line="360" w:lineRule="exact"/>
        <w:ind w:firstLine="420" w:firstLineChars="200"/>
        <w:rPr>
          <w:rFonts w:ascii="Times New Roman" w:hAnsi="Times New Roman" w:eastAsia="方正楷体_GBK" w:cs="方正楷体_GBK"/>
          <w:color w:val="252525" w:themeColor="text1" w:themeTint="D9"/>
          <w:kern w:val="0"/>
          <w:szCs w:val="21"/>
        </w:rPr>
      </w:pPr>
      <w:r>
        <w:rPr>
          <w:rFonts w:ascii="Times New Roman" w:hAnsi="Times New Roman" w:eastAsia="方正楷体_GBK" w:cs="方正楷体_GBK"/>
          <w:color w:val="252525" w:themeColor="text1" w:themeTint="D9"/>
          <w:kern w:val="0"/>
          <w:szCs w:val="21"/>
        </w:rPr>
        <w:t>（三）</w:t>
      </w:r>
      <w:r>
        <w:rPr>
          <w:rFonts w:hint="eastAsia" w:ascii="Times New Roman" w:hAnsi="Times New Roman" w:eastAsia="方正楷体_GBK" w:cs="方正楷体_GBK"/>
          <w:color w:val="252525" w:themeColor="text1" w:themeTint="D9"/>
          <w:kern w:val="0"/>
          <w:szCs w:val="21"/>
        </w:rPr>
        <w:t>实体</w:t>
      </w:r>
      <w:r>
        <w:rPr>
          <w:rFonts w:ascii="Times New Roman" w:hAnsi="Times New Roman" w:eastAsia="方正楷体_GBK" w:cs="方正楷体_GBK"/>
          <w:color w:val="252525" w:themeColor="text1" w:themeTint="D9"/>
          <w:kern w:val="0"/>
          <w:szCs w:val="21"/>
        </w:rPr>
        <w:t>CA 证书办理</w:t>
      </w:r>
    </w:p>
    <w:p w14:paraId="5AE0966E">
      <w:pPr>
        <w:pStyle w:val="7"/>
        <w:spacing w:beforeAutospacing="0" w:afterAutospacing="0" w:line="360" w:lineRule="exact"/>
        <w:ind w:firstLine="420" w:firstLineChars="200"/>
        <w:rPr>
          <w:rFonts w:ascii="Times New Roman" w:hAnsi="Times New Roman" w:eastAsia="方正仿宋_GBK" w:cs="Times New Roman"/>
          <w:color w:val="252525" w:themeColor="text1" w:themeTint="D9"/>
          <w:sz w:val="21"/>
          <w:szCs w:val="21"/>
        </w:rPr>
      </w:pPr>
      <w:r>
        <w:rPr>
          <w:rFonts w:hint="eastAsia" w:ascii="Times New Roman" w:hAnsi="Times New Roman" w:eastAsia="方正仿宋_GBK" w:cs="Times New Roman"/>
          <w:color w:val="252525" w:themeColor="text1" w:themeTint="D9"/>
          <w:sz w:val="21"/>
          <w:szCs w:val="21"/>
        </w:rPr>
        <w:t>申请人可在重庆市公共资源交易网CA互认与办理专栏（网址：https://www.cqggzy.com/035/CAenter.html）按照办理须知办理实体CA证书</w:t>
      </w:r>
      <w:r>
        <w:rPr>
          <w:rFonts w:ascii="Times New Roman" w:hAnsi="Times New Roman" w:eastAsia="方正仿宋_GBK" w:cs="Times New Roman"/>
          <w:color w:val="252525" w:themeColor="text1" w:themeTint="D9"/>
          <w:sz w:val="21"/>
          <w:szCs w:val="21"/>
        </w:rPr>
        <w:t>。</w:t>
      </w:r>
    </w:p>
    <w:p w14:paraId="5EFE8F87">
      <w:pPr>
        <w:pStyle w:val="2"/>
        <w:spacing w:line="360" w:lineRule="exact"/>
        <w:ind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252525" w:themeColor="text1" w:themeTint="D9"/>
          <w:sz w:val="21"/>
          <w:szCs w:val="21"/>
          <w:lang w:eastAsia="zh-CN"/>
        </w:rPr>
        <w:t>申请人应妥善保管数字证书及其密码，如有遗失或者损毁数字证书、遗忘或者泄露密码的，应及时到原办理机构办理挂失，并重新申领。申请人登记信息有变化的，应及时到数字证书办理机构进行信息变更。</w:t>
      </w:r>
    </w:p>
    <w:p w14:paraId="536F8BCD">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三、竞买申请人准入条件</w:t>
      </w:r>
    </w:p>
    <w:p w14:paraId="02911965">
      <w:pPr>
        <w:spacing w:line="360" w:lineRule="exact"/>
        <w:ind w:firstLine="420" w:firstLineChars="200"/>
        <w:rPr>
          <w:rFonts w:hint="eastAsia" w:ascii="Times New Roman" w:hAnsi="Times New Roman" w:eastAsia="方正仿宋_GBK" w:cs="Times New Roman"/>
          <w:color w:val="252525" w:themeColor="text1" w:themeTint="D9"/>
          <w:szCs w:val="21"/>
          <w:lang w:val="en-US" w:eastAsia="zh-CN"/>
        </w:rPr>
      </w:pPr>
      <w:r>
        <w:rPr>
          <w:rFonts w:ascii="Times New Roman" w:hAnsi="Times New Roman" w:eastAsia="方正仿宋_GBK" w:cs="Times New Roman"/>
          <w:color w:val="252525" w:themeColor="text1" w:themeTint="D9"/>
          <w:szCs w:val="21"/>
        </w:rPr>
        <w:t>（一）竞买申请人须为依法登记的营利法人或者非营利法人中的事业单位法人；</w:t>
      </w:r>
    </w:p>
    <w:p w14:paraId="596FECB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14:paraId="170FD1B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w:t>
      </w:r>
      <w:r>
        <w:rPr>
          <w:rFonts w:hint="eastAsia" w:ascii="Times New Roman" w:hAnsi="Times New Roman" w:eastAsia="方正仿宋_GBK" w:cs="Times New Roman"/>
          <w:color w:val="252525" w:themeColor="text1" w:themeTint="D9"/>
          <w:szCs w:val="21"/>
        </w:rPr>
        <w:t>.在全国矿业权人勘查开采信息管理系统的“</w:t>
      </w:r>
      <w:r>
        <w:rPr>
          <w:rFonts w:ascii="Times New Roman" w:hAnsi="Times New Roman" w:eastAsia="方正仿宋_GBK" w:cs="Times New Roman"/>
          <w:color w:val="252525" w:themeColor="text1" w:themeTint="D9"/>
          <w:szCs w:val="21"/>
        </w:rPr>
        <w:t>矿业权人异常名录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矿业权严重失信主体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内的；</w:t>
      </w:r>
    </w:p>
    <w:p w14:paraId="07705FF7">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信用中国</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查询，在自然资源部联合惩戒备忘录或重庆市信用惩戒严重失信主体</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黑名单</w:t>
      </w:r>
      <w:r>
        <w:rPr>
          <w:rFonts w:hint="eastAsia"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内限制禁止参与矿业权出让的；</w:t>
      </w:r>
    </w:p>
    <w:p w14:paraId="03A09353">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3.被吊销勘查许可证且自吊销之日起未满6个月的。</w:t>
      </w:r>
    </w:p>
    <w:p w14:paraId="2ABEF219">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四、网上报名申请</w:t>
      </w:r>
    </w:p>
    <w:p w14:paraId="7A4363D3">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本次公开出让的探矿权采取</w:t>
      </w:r>
      <w:r>
        <w:rPr>
          <w:rFonts w:ascii="Times New Roman" w:hAnsi="Times New Roman" w:eastAsia="方正仿宋_GBK" w:cs="Times New Roman"/>
          <w:color w:val="252525" w:themeColor="text1" w:themeTint="D9"/>
          <w:szCs w:val="21"/>
          <w:u w:val="single"/>
        </w:rPr>
        <w:t>网上报名</w:t>
      </w:r>
      <w:r>
        <w:rPr>
          <w:rFonts w:ascii="Times New Roman" w:hAnsi="Times New Roman" w:eastAsia="方正仿宋_GBK" w:cs="Times New Roman"/>
          <w:color w:val="252525" w:themeColor="text1" w:themeTint="D9"/>
          <w:szCs w:val="21"/>
        </w:rPr>
        <w:t>方式：</w:t>
      </w:r>
    </w:p>
    <w:p w14:paraId="35D6F7A2">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（一）报名时限：</w:t>
      </w:r>
      <w:r>
        <w:rPr>
          <w:rFonts w:ascii="Times New Roman" w:hAnsi="Times New Roman" w:eastAsia="方正仿宋_GBK" w:cs="Times New Roman"/>
          <w:color w:val="252525" w:themeColor="text1" w:themeTint="D9"/>
          <w:szCs w:val="21"/>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10</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9：00</w:t>
      </w:r>
      <w:r>
        <w:rPr>
          <w:rFonts w:ascii="Times New Roman" w:hAnsi="Times New Roman" w:eastAsia="方正仿宋_GBK" w:cs="Times New Roman"/>
          <w:color w:val="252525" w:themeColor="text1" w:themeTint="D9"/>
          <w:szCs w:val="21"/>
          <w:u w:val="none"/>
        </w:rPr>
        <w:t>时-202</w:t>
      </w:r>
      <w:r>
        <w:rPr>
          <w:rFonts w:hint="eastAsia" w:ascii="Times New Roman" w:hAnsi="Times New Roman" w:eastAsia="方正仿宋_GBK" w:cs="Times New Roman"/>
          <w:color w:val="252525" w:themeColor="text1" w:themeTint="D9"/>
          <w:szCs w:val="21"/>
          <w:u w:val="none"/>
          <w:lang w:val="en-US" w:eastAsia="zh-CN"/>
        </w:rPr>
        <w:t>5</w:t>
      </w:r>
      <w:r>
        <w:rPr>
          <w:rFonts w:ascii="Times New Roman" w:hAnsi="Times New Roman" w:eastAsia="方正仿宋_GBK" w:cs="Times New Roman"/>
          <w:color w:val="252525" w:themeColor="text1" w:themeTint="D9"/>
          <w:szCs w:val="21"/>
          <w:u w:val="none"/>
        </w:rPr>
        <w:t>年</w:t>
      </w:r>
      <w:r>
        <w:rPr>
          <w:rFonts w:hint="eastAsia" w:ascii="Times New Roman" w:hAnsi="Times New Roman" w:eastAsia="方正仿宋_GBK" w:cs="Times New Roman"/>
          <w:color w:val="252525" w:themeColor="text1" w:themeTint="D9"/>
          <w:sz w:val="22"/>
          <w:u w:val="none"/>
          <w:lang w:val="en-US" w:eastAsia="zh-CN"/>
        </w:rPr>
        <w:t>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7</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rPr>
        <w:t>时。</w:t>
      </w:r>
    </w:p>
    <w:p w14:paraId="566BBC2C">
      <w:pPr>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Times New Roman" w:hAnsi="Times New Roman" w:eastAsia="方正楷体_GBK" w:cs="方正楷体_GBK"/>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申请人应在报名期限内登录重庆市公共资源交易中心网站（https://www.cqggzy.com/），进入重庆市国有建设用地使用权和矿业权网上交易系统（网址：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14:paraId="4AE09BA6">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（三）申请资料</w:t>
      </w:r>
    </w:p>
    <w:p w14:paraId="6CA516A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1.《竞买申请书》（原件1份）（附件一）；</w:t>
      </w:r>
    </w:p>
    <w:p w14:paraId="6D440A5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14:paraId="368E8F3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14:paraId="0BEFCCD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4.法人不能亲自参加的应提供《授权委托书》（原件1份）（附件三）；</w:t>
      </w:r>
    </w:p>
    <w:p w14:paraId="4B48E5F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14:paraId="1F56BEB3">
      <w:pPr>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14:paraId="3F34B500">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（四）网上报名</w:t>
      </w:r>
    </w:p>
    <w:p w14:paraId="075F4E68">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权信息有疑问的，可以向重庆市公共资源交易中心咨询。此次交易不组织对网上出让探矿权的现场踏勘，竞买申请人可自行前往现场踏勘。</w:t>
      </w:r>
    </w:p>
    <w:p w14:paraId="2AFB49A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 证书办理机构</w:t>
      </w:r>
      <w:r>
        <w:rPr>
          <w:rFonts w:ascii="Times New Roman" w:hAnsi="Times New Roman" w:eastAsia="方正仿宋_GBK" w:cs="Times New Roman"/>
          <w:color w:val="252525" w:themeColor="text1" w:themeTint="D9"/>
          <w:szCs w:val="21"/>
        </w:rPr>
        <w:t>。</w:t>
      </w:r>
    </w:p>
    <w:p w14:paraId="329837F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探矿权现状等无异议，并对可能存在的风险完全接受。</w:t>
      </w:r>
    </w:p>
    <w:p w14:paraId="58D4DDBC">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（五）保证金的交纳及相关规定</w:t>
      </w:r>
    </w:p>
    <w:p w14:paraId="7BDF9FD2">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14:paraId="17275AC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68CD91A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申请人每次提交竞买申请及交纳竞买保证金只对应一宗探矿权，如申请人同时竞买多宗探矿权的，应分别提交申请并按时足额交纳竞买保证金。    </w:t>
      </w:r>
    </w:p>
    <w:p w14:paraId="44DDBA7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3.申请人应于报名期限内交纳竞买保证金人民币</w:t>
      </w:r>
      <w:r>
        <w:rPr>
          <w:rFonts w:hint="default" w:ascii="Times New Roman" w:hAnsi="Times New Roman" w:eastAsia="方正仿宋_GBK" w:cs="Times New Roman"/>
          <w:color w:val="252525" w:themeColor="text1" w:themeTint="D9"/>
          <w:szCs w:val="21"/>
          <w:lang w:val="en-US" w:eastAsia="zh-CN"/>
        </w:rPr>
        <w:t>665万元</w:t>
      </w:r>
      <w:r>
        <w:rPr>
          <w:rFonts w:hint="default" w:ascii="Times New Roman" w:hAnsi="Times New Roman" w:eastAsia="方正仿宋_GBK" w:cs="Times New Roman"/>
          <w:color w:val="252525" w:themeColor="text1" w:themeTint="D9"/>
          <w:szCs w:val="21"/>
          <w:lang w:eastAsia="zh-CN"/>
        </w:rPr>
        <w:t>（大写陆佰陆拾伍万元</w:t>
      </w:r>
      <w:r>
        <w:rPr>
          <w:rFonts w:hint="eastAsia" w:ascii="Times New Roman" w:hAnsi="Times New Roman" w:eastAsia="方正仿宋_GBK" w:cs="Times New Roman"/>
          <w:color w:val="252525" w:themeColor="text1" w:themeTint="D9"/>
          <w:szCs w:val="21"/>
          <w:lang w:val="en-US" w:eastAsia="zh-CN"/>
        </w:rPr>
        <w:t>整</w:t>
      </w:r>
      <w:r>
        <w:rPr>
          <w:rFonts w:hint="default" w:ascii="Times New Roman" w:hAnsi="Times New Roman" w:eastAsia="方正仿宋_GBK" w:cs="Times New Roman"/>
          <w:color w:val="252525" w:themeColor="text1" w:themeTint="D9"/>
          <w:szCs w:val="21"/>
        </w:rPr>
        <w:t>）</w:t>
      </w:r>
      <w:r>
        <w:rPr>
          <w:rFonts w:ascii="Times New Roman" w:hAnsi="Times New Roman" w:eastAsia="方正仿宋_GBK" w:cs="Times New Roman"/>
          <w:color w:val="252525" w:themeColor="text1" w:themeTint="D9"/>
          <w:szCs w:val="21"/>
        </w:rPr>
        <w:t>，竞买保证金交纳时间以银行确认的到账时间为准。竞买保证金到账截止时间为：</w:t>
      </w:r>
      <w:r>
        <w:rPr>
          <w:rFonts w:ascii="Times New Roman" w:hAnsi="Times New Roman" w:eastAsia="方正仿宋_GBK" w:cs="Times New Roman"/>
          <w:iCs/>
          <w:color w:val="252525" w:themeColor="text1" w:themeTint="D9"/>
          <w:szCs w:val="21"/>
          <w:u w:val="single"/>
        </w:rPr>
        <w:t>202</w:t>
      </w:r>
      <w:r>
        <w:rPr>
          <w:rFonts w:hint="eastAsia" w:ascii="Times New Roman" w:hAnsi="Times New Roman" w:eastAsia="方正仿宋_GBK" w:cs="Times New Roman"/>
          <w:iCs/>
          <w:color w:val="252525" w:themeColor="text1" w:themeTint="D9"/>
          <w:szCs w:val="21"/>
          <w:u w:val="single"/>
          <w:lang w:val="en-US" w:eastAsia="zh-CN"/>
        </w:rPr>
        <w:t>5</w:t>
      </w:r>
      <w:r>
        <w:rPr>
          <w:rFonts w:ascii="Times New Roman" w:hAnsi="Times New Roman" w:eastAsia="方正仿宋_GBK" w:cs="Times New Roman"/>
          <w:iCs/>
          <w:color w:val="252525" w:themeColor="text1" w:themeTint="D9"/>
          <w:szCs w:val="21"/>
          <w:u w:val="single"/>
        </w:rPr>
        <w:t>年</w:t>
      </w:r>
      <w:r>
        <w:rPr>
          <w:rFonts w:hint="eastAsia" w:ascii="Times New Roman" w:hAnsi="Times New Roman" w:eastAsia="方正仿宋_GBK" w:cs="Times New Roman"/>
          <w:iCs/>
          <w:color w:val="252525" w:themeColor="text1" w:themeTint="D9"/>
          <w:szCs w:val="21"/>
          <w:u w:val="single"/>
          <w:lang w:val="en-US" w:eastAsia="zh-CN"/>
        </w:rPr>
        <w:t>1</w:t>
      </w:r>
      <w:r>
        <w:rPr>
          <w:rFonts w:ascii="Times New Roman" w:hAnsi="Times New Roman" w:eastAsia="方正仿宋_GBK" w:cs="Times New Roman"/>
          <w:iCs/>
          <w:color w:val="252525" w:themeColor="text1" w:themeTint="D9"/>
          <w:szCs w:val="21"/>
          <w:u w:val="single"/>
        </w:rPr>
        <w:t>月</w:t>
      </w:r>
      <w:r>
        <w:rPr>
          <w:rFonts w:hint="eastAsia" w:ascii="Times New Roman" w:hAnsi="Times New Roman" w:eastAsia="方正仿宋_GBK" w:cs="Times New Roman"/>
          <w:iCs/>
          <w:color w:val="252525" w:themeColor="text1" w:themeTint="D9"/>
          <w:szCs w:val="21"/>
          <w:u w:val="single"/>
          <w:lang w:val="en-US" w:eastAsia="zh-CN"/>
        </w:rPr>
        <w:t>7</w:t>
      </w:r>
      <w:r>
        <w:rPr>
          <w:rFonts w:ascii="Times New Roman" w:hAnsi="Times New Roman" w:eastAsia="方正仿宋_GBK" w:cs="Times New Roman"/>
          <w:iCs/>
          <w:color w:val="252525" w:themeColor="text1" w:themeTint="D9"/>
          <w:szCs w:val="21"/>
          <w:u w:val="single"/>
        </w:rPr>
        <w:t>日</w:t>
      </w:r>
      <w:r>
        <w:rPr>
          <w:rFonts w:hint="eastAsia" w:ascii="Times New Roman" w:hAnsi="Times New Roman" w:eastAsia="方正仿宋_GBK" w:cs="Times New Roman"/>
          <w:iCs/>
          <w:color w:val="252525" w:themeColor="text1" w:themeTint="D9"/>
          <w:szCs w:val="21"/>
          <w:u w:val="single"/>
          <w:lang w:val="en-US" w:eastAsia="zh-CN"/>
        </w:rPr>
        <w:t>17</w:t>
      </w:r>
      <w:r>
        <w:rPr>
          <w:rFonts w:ascii="Times New Roman" w:hAnsi="Times New Roman" w:eastAsia="方正仿宋_GBK" w:cs="Times New Roman"/>
          <w:iCs/>
          <w:color w:val="252525" w:themeColor="text1" w:themeTint="D9"/>
          <w:szCs w:val="21"/>
          <w:u w:val="single"/>
        </w:rPr>
        <w:t xml:space="preserve"> :00</w:t>
      </w:r>
      <w:r>
        <w:rPr>
          <w:rFonts w:ascii="Times New Roman" w:hAnsi="Times New Roman" w:eastAsia="方正仿宋_GBK" w:cs="Times New Roman"/>
          <w:color w:val="252525" w:themeColor="text1" w:themeTint="D9"/>
          <w:szCs w:val="21"/>
        </w:rPr>
        <w:t>。</w:t>
      </w:r>
    </w:p>
    <w:p w14:paraId="10F921B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14:paraId="29EC50D3">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14:paraId="655012E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14:paraId="491B48D9">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themeColor="text1" w:themeTint="D9"/>
          <w:szCs w:val="21"/>
        </w:rPr>
        <w:t>如未竞得，在成交日之后1个工作日内退还保证金及银行同期活期存款利息。</w:t>
      </w:r>
    </w:p>
    <w:p w14:paraId="45BEB206">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（六）网上报名资格审核相关程序：</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53BA038D">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五、确定竞得人的标准和方法</w:t>
      </w:r>
    </w:p>
    <w:p w14:paraId="19862A6D">
      <w:pPr>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Times New Roman" w:hAnsi="Times New Roman" w:eastAsia="方正楷体_GBK" w:cs="方正楷体_GBK"/>
          <w:color w:val="252525" w:themeColor="text1" w:themeTint="D9"/>
          <w:szCs w:val="21"/>
        </w:rPr>
        <w:t>（一）网上</w:t>
      </w:r>
      <w:r>
        <w:rPr>
          <w:rFonts w:hint="eastAsia" w:ascii="Times New Roman" w:hAnsi="Times New Roman" w:eastAsia="方正楷体_GBK" w:cs="方正楷体_GBK"/>
          <w:color w:val="252525" w:themeColor="text1" w:themeTint="D9"/>
          <w:kern w:val="0"/>
          <w:szCs w:val="21"/>
        </w:rPr>
        <w:t>挂牌时间：</w:t>
      </w:r>
      <w:r>
        <w:rPr>
          <w:rFonts w:ascii="Times New Roman" w:hAnsi="Times New Roman" w:eastAsia="方正仿宋_GBK" w:cs="Times New Roman"/>
          <w:color w:val="252525" w:themeColor="text1" w:themeTint="D9"/>
          <w:kern w:val="0"/>
          <w:szCs w:val="21"/>
        </w:rPr>
        <w:t>202</w:t>
      </w:r>
      <w:r>
        <w:rPr>
          <w:rFonts w:hint="eastAsia" w:ascii="Times New Roman" w:hAnsi="Times New Roman" w:eastAsia="方正仿宋_GBK" w:cs="Times New Roman"/>
          <w:color w:val="252525" w:themeColor="text1" w:themeTint="D9"/>
          <w:kern w:val="0"/>
          <w:szCs w:val="21"/>
          <w:lang w:val="en-US" w:eastAsia="zh-CN"/>
        </w:rPr>
        <w:t>5</w:t>
      </w:r>
      <w:r>
        <w:rPr>
          <w:rFonts w:ascii="Times New Roman" w:hAnsi="Times New Roman" w:eastAsia="方正仿宋_GBK" w:cs="Times New Roman"/>
          <w:color w:val="252525" w:themeColor="text1" w:themeTint="D9"/>
          <w:kern w:val="0"/>
          <w:szCs w:val="21"/>
        </w:rPr>
        <w:t>年</w:t>
      </w:r>
      <w:r>
        <w:rPr>
          <w:rFonts w:hint="eastAsia" w:ascii="Times New Roman" w:hAnsi="Times New Roman" w:eastAsia="方正仿宋_GBK" w:cs="Times New Roman"/>
          <w:color w:val="252525" w:themeColor="text1" w:themeTint="D9"/>
          <w:sz w:val="22"/>
          <w:u w:val="none"/>
          <w:lang w:val="en-US" w:eastAsia="zh-CN"/>
        </w:rPr>
        <w:t>1</w:t>
      </w:r>
      <w:r>
        <w:rPr>
          <w:rFonts w:ascii="Times New Roman" w:hAnsi="Times New Roman" w:eastAsia="方正仿宋_GBK" w:cs="Times New Roman"/>
          <w:color w:val="252525" w:themeColor="text1" w:themeTint="D9"/>
          <w:kern w:val="0"/>
          <w:szCs w:val="21"/>
          <w:u w:val="none"/>
        </w:rPr>
        <w:t>月</w:t>
      </w:r>
      <w:r>
        <w:rPr>
          <w:rFonts w:hint="eastAsia" w:ascii="Times New Roman" w:hAnsi="Times New Roman" w:eastAsia="方正仿宋_GBK" w:cs="Times New Roman"/>
          <w:color w:val="252525" w:themeColor="text1" w:themeTint="D9"/>
          <w:sz w:val="22"/>
          <w:u w:val="none"/>
          <w:lang w:val="en-US" w:eastAsia="zh-CN"/>
        </w:rPr>
        <w:t>8</w:t>
      </w:r>
      <w:r>
        <w:rPr>
          <w:rFonts w:ascii="Times New Roman" w:hAnsi="Times New Roman" w:eastAsia="方正仿宋_GBK" w:cs="Times New Roman"/>
          <w:color w:val="252525" w:themeColor="text1" w:themeTint="D9"/>
          <w:kern w:val="0"/>
          <w:szCs w:val="21"/>
          <w:u w:val="none"/>
        </w:rPr>
        <w:t>日</w:t>
      </w:r>
      <w:r>
        <w:rPr>
          <w:rFonts w:hint="eastAsia" w:ascii="Times New Roman" w:hAnsi="Times New Roman" w:eastAsia="方正仿宋_GBK" w:cs="Times New Roman"/>
          <w:color w:val="252525" w:themeColor="text1" w:themeTint="D9"/>
          <w:sz w:val="22"/>
          <w:u w:val="none"/>
          <w:lang w:val="en-US" w:eastAsia="zh-CN"/>
        </w:rPr>
        <w:t>9：00</w:t>
      </w:r>
      <w:r>
        <w:rPr>
          <w:rFonts w:ascii="Times New Roman" w:hAnsi="Times New Roman" w:eastAsia="方正仿宋_GBK" w:cs="Times New Roman"/>
          <w:color w:val="252525" w:themeColor="text1" w:themeTint="D9"/>
          <w:kern w:val="0"/>
          <w:szCs w:val="21"/>
          <w:u w:val="none"/>
        </w:rPr>
        <w:t>时</w:t>
      </w:r>
      <w:r>
        <w:rPr>
          <w:rFonts w:ascii="Times New Roman" w:hAnsi="Times New Roman" w:eastAsia="方正仿宋_GBK" w:cs="Times New Roman"/>
          <w:color w:val="252525" w:themeColor="text1" w:themeTint="D9"/>
          <w:szCs w:val="21"/>
          <w:u w:val="none"/>
        </w:rPr>
        <w:t>-202</w:t>
      </w:r>
      <w:r>
        <w:rPr>
          <w:rFonts w:hint="eastAsia" w:ascii="Times New Roman" w:hAnsi="Times New Roman" w:eastAsia="方正仿宋_GBK" w:cs="Times New Roman"/>
          <w:color w:val="252525" w:themeColor="text1" w:themeTint="D9"/>
          <w:szCs w:val="21"/>
          <w:u w:val="none"/>
          <w:lang w:val="en-US" w:eastAsia="zh-CN"/>
        </w:rPr>
        <w:t>5</w:t>
      </w:r>
      <w:r>
        <w:rPr>
          <w:rFonts w:ascii="Times New Roman" w:hAnsi="Times New Roman" w:eastAsia="方正仿宋_GBK" w:cs="Times New Roman"/>
          <w:color w:val="252525" w:themeColor="text1" w:themeTint="D9"/>
          <w:szCs w:val="21"/>
          <w:u w:val="none"/>
        </w:rPr>
        <w:t>年</w:t>
      </w:r>
      <w:r>
        <w:rPr>
          <w:rFonts w:hint="eastAsia" w:ascii="Times New Roman" w:hAnsi="Times New Roman" w:eastAsia="方正仿宋_GBK" w:cs="Times New Roman"/>
          <w:color w:val="252525" w:themeColor="text1" w:themeTint="D9"/>
          <w:sz w:val="22"/>
          <w:u w:val="none"/>
          <w:lang w:val="en-US" w:eastAsia="zh-CN"/>
        </w:rPr>
        <w:t>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21</w:t>
      </w:r>
      <w:bookmarkStart w:id="0" w:name="_GoBack"/>
      <w:bookmarkEnd w:id="0"/>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rPr>
        <w:t>时</w:t>
      </w:r>
    </w:p>
    <w:p w14:paraId="57A1B49E">
      <w:pPr>
        <w:spacing w:line="360" w:lineRule="exact"/>
        <w:ind w:firstLine="420" w:firstLineChars="200"/>
        <w:rPr>
          <w:rFonts w:ascii="Times New Roman" w:hAnsi="Times New Roman" w:eastAsia="方正楷体_GBK" w:cs="方正楷体_GBK"/>
          <w:color w:val="252525" w:themeColor="text1" w:themeTint="D9"/>
          <w:szCs w:val="21"/>
        </w:rPr>
      </w:pPr>
      <w:r>
        <w:rPr>
          <w:rFonts w:hint="eastAsia" w:ascii="Times New Roman" w:hAnsi="Times New Roman" w:eastAsia="方正楷体_GBK" w:cs="方正楷体_GBK"/>
          <w:color w:val="252525" w:themeColor="text1" w:themeTint="D9"/>
          <w:szCs w:val="21"/>
        </w:rPr>
        <w:t>（二）网上挂牌交易：</w:t>
      </w:r>
    </w:p>
    <w:p w14:paraId="6B87F0D6">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1.本次网上挂牌出让未设置底价，采用网上增价报</w:t>
      </w:r>
      <w:r>
        <w:rPr>
          <w:rFonts w:ascii="Times New Roman" w:hAnsi="Times New Roman" w:eastAsia="方正仿宋_GBK" w:cs="Times New Roman"/>
          <w:color w:val="252525" w:themeColor="text1" w:themeTint="D9"/>
          <w:kern w:val="0"/>
          <w:szCs w:val="21"/>
        </w:rPr>
        <w:t>价的方式，</w:t>
      </w:r>
      <w:r>
        <w:rPr>
          <w:rFonts w:ascii="Times New Roman" w:hAnsi="Times New Roman" w:eastAsia="方正仿宋_GBK" w:cs="Times New Roman"/>
          <w:color w:val="252525" w:themeColor="text1" w:themeTint="D9"/>
          <w:szCs w:val="21"/>
        </w:rPr>
        <w:t>挂牌起始价为出让收益起始价，</w:t>
      </w:r>
      <w:r>
        <w:rPr>
          <w:rFonts w:ascii="Times New Roman" w:hAnsi="Times New Roman" w:eastAsia="方正仿宋_GBK" w:cs="Times New Roman"/>
          <w:color w:val="252525" w:themeColor="text1" w:themeTint="D9"/>
          <w:kern w:val="0"/>
          <w:szCs w:val="21"/>
        </w:rPr>
        <w:t>增价幅度为</w:t>
      </w:r>
      <w:r>
        <w:rPr>
          <w:rFonts w:hint="eastAsia" w:ascii="Times New Roman" w:hAnsi="Times New Roman" w:eastAsia="方正仿宋_GBK" w:cs="Times New Roman"/>
          <w:color w:val="252525" w:themeColor="text1" w:themeTint="D9"/>
          <w:kern w:val="0"/>
          <w:szCs w:val="21"/>
          <w:u w:val="none"/>
          <w:lang w:val="en-US" w:eastAsia="zh-CN"/>
        </w:rPr>
        <w:t>30</w:t>
      </w:r>
      <w:r>
        <w:rPr>
          <w:rFonts w:ascii="Times New Roman" w:hAnsi="Times New Roman" w:eastAsia="方正仿宋_GBK" w:cs="Times New Roman"/>
          <w:color w:val="252525" w:themeColor="text1" w:themeTint="D9"/>
          <w:kern w:val="0"/>
          <w:szCs w:val="21"/>
          <w:u w:val="none"/>
        </w:rPr>
        <w:t>万元或</w:t>
      </w:r>
      <w:r>
        <w:rPr>
          <w:rFonts w:hint="eastAsia" w:ascii="Times New Roman" w:hAnsi="Times New Roman" w:eastAsia="方正仿宋_GBK" w:cs="Times New Roman"/>
          <w:color w:val="252525" w:themeColor="text1" w:themeTint="D9"/>
          <w:kern w:val="0"/>
          <w:szCs w:val="21"/>
          <w:u w:val="none"/>
          <w:lang w:val="en-US" w:eastAsia="zh-CN"/>
        </w:rPr>
        <w:t>30</w:t>
      </w:r>
      <w:r>
        <w:rPr>
          <w:rFonts w:ascii="Times New Roman" w:hAnsi="Times New Roman" w:eastAsia="方正仿宋_GBK" w:cs="Times New Roman"/>
          <w:color w:val="252525" w:themeColor="text1" w:themeTint="D9"/>
          <w:kern w:val="0"/>
          <w:szCs w:val="21"/>
          <w:u w:val="none"/>
        </w:rPr>
        <w:t>万</w:t>
      </w:r>
      <w:r>
        <w:rPr>
          <w:rFonts w:ascii="Times New Roman" w:hAnsi="Times New Roman" w:eastAsia="方正仿宋_GBK" w:cs="Times New Roman"/>
          <w:color w:val="252525" w:themeColor="text1" w:themeTint="D9"/>
          <w:kern w:val="0"/>
          <w:szCs w:val="21"/>
        </w:rPr>
        <w:t>元的整数倍，按照价高者得原则确定竞得人。</w:t>
      </w:r>
    </w:p>
    <w:p w14:paraId="57D9E0C3">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2.获得竞买资格的竞买人通过网上交易系统进行报价，初次报价不得低于起始价，初次报价后的每次报价应当比当前报价增加至少1个增价幅度。竞买人应当谨慎报价，报价一经提交，不得修改或撤回。</w:t>
      </w:r>
    </w:p>
    <w:p w14:paraId="4F903582">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3.符合相关条件的报价，交易系统予以接受，并实时公布。</w:t>
      </w:r>
    </w:p>
    <w:p w14:paraId="26592797">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4.网上挂牌报价时间截止时无人提交有效报价的，网上挂牌不成交，系统自动终止该宗矿业权网上挂牌活动。</w:t>
      </w:r>
    </w:p>
    <w:p w14:paraId="5F307763">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5.网上挂牌报价时间截止时只有1个竞买人报名并报价的，则该竞买人为竞得入选人。</w:t>
      </w:r>
    </w:p>
    <w:p w14:paraId="3C7F5726">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6.网上挂牌报价时间截止时，有2个及以上竞买人报名，且有竞买人提交有效报价的。系统进入</w:t>
      </w:r>
      <w:r>
        <w:rPr>
          <w:rFonts w:hint="eastAsia" w:ascii="Times New Roman" w:hAnsi="Times New Roman" w:eastAsia="方正仿宋_GBK" w:cs="Times New Roman"/>
          <w:color w:val="252525" w:themeColor="text1" w:themeTint="D9"/>
          <w:kern w:val="0"/>
          <w:szCs w:val="21"/>
        </w:rPr>
        <w:t>10</w:t>
      </w:r>
      <w:r>
        <w:rPr>
          <w:rFonts w:ascii="Times New Roman" w:hAnsi="Times New Roman" w:eastAsia="方正仿宋_GBK" w:cs="Times New Roman"/>
          <w:color w:val="252525" w:themeColor="text1" w:themeTint="D9"/>
          <w:kern w:val="0"/>
          <w:szCs w:val="21"/>
        </w:rPr>
        <w:t>分钟询问期，若无竞买人继续竞价，则挂牌活动结束，报价最高者为竞得入选人。若还有继续竞价的，则转入限时竞价阶段。在询问期内同意继续竞价的所有有效竞买人均可在挂牌竞价阶段内参加限时竞价。</w:t>
      </w:r>
    </w:p>
    <w:p w14:paraId="577FCA23">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7.限时竞价阶段以4分钟倒计时为竞价时限，如在4分钟倒计时内有新的报价，网上交易系统即从接受新的报价起再重新倒计时4分钟。</w:t>
      </w:r>
    </w:p>
    <w:p w14:paraId="2FBF5E78">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8.4分钟倒计时截止无新的报价，则挂牌活动结束，报价最高者为竞得入选人。</w:t>
      </w:r>
    </w:p>
    <w:p w14:paraId="52BF4EC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9.网上挂牌结束时，网上交易系统将自动关闭报价通道，并公布竞价结果同时网上交易系统将向竞得入选人自动核发《竞得入选人通知书》</w:t>
      </w:r>
      <w:r>
        <w:rPr>
          <w:rFonts w:ascii="Times New Roman" w:hAnsi="Times New Roman" w:eastAsia="方正仿宋_GBK" w:cs="Times New Roman"/>
          <w:color w:val="252525" w:themeColor="text1" w:themeTint="D9"/>
          <w:szCs w:val="21"/>
        </w:rPr>
        <w:t>。</w:t>
      </w:r>
    </w:p>
    <w:p w14:paraId="64C74C90">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（三）成交确认书签订：</w:t>
      </w:r>
      <w:r>
        <w:rPr>
          <w:rFonts w:ascii="Times New Roman" w:hAnsi="Times New Roman" w:eastAsia="方正仿宋_GBK" w:cs="Times New Roman"/>
          <w:color w:val="252525" w:themeColor="text1" w:themeTint="D9"/>
          <w:szCs w:val="21"/>
        </w:rPr>
        <w:t>该宗探矿权网上交易实行竞买资格前审，竞得入选人须在竞价完成后2个工作日内持《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》及报名资料纸质件与重庆市公共资源交易中心签订《探矿权出让成交确认书》。</w:t>
      </w:r>
    </w:p>
    <w:p w14:paraId="7E964003">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挂牌成交后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14:paraId="27DA628C">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楷体_GBK" w:cs="方正楷体_GBK"/>
          <w:color w:val="252525" w:themeColor="text1" w:themeTint="D9"/>
          <w:szCs w:val="21"/>
        </w:rPr>
        <w:t>（五）网上挂牌程序及竞得方式按照国家及重庆市有关规定执行。</w:t>
      </w:r>
      <w:r>
        <w:rPr>
          <w:rFonts w:ascii="Times New Roman" w:hAnsi="Times New Roman" w:eastAsia="方正仿宋_GBK" w:cs="Times New Roman"/>
          <w:color w:val="252525" w:themeColor="text1" w:themeTint="D9"/>
          <w:szCs w:val="21"/>
        </w:rPr>
        <w:t>如在挂牌程序中，本探矿权因监管部门要求需终止交易行为的，在告知竞买人后，退还探矿权竞买人已交纳的竞买保证金。</w:t>
      </w:r>
    </w:p>
    <w:p w14:paraId="16992EF4">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六、出让收益的缴纳</w:t>
      </w:r>
    </w:p>
    <w:p w14:paraId="41EF67E2">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该宗探矿权按照出让金额形式征收出让收益，出让收益首次征收比例为20%，竞得人自愿一次性缴清的除外；剩余部分转采后在采矿许可证有效期</w:t>
      </w:r>
      <w:r>
        <w:rPr>
          <w:rFonts w:hint="eastAsia" w:ascii="Times New Roman" w:hAnsi="Times New Roman" w:eastAsia="方正仿宋_GBK" w:cs="Times New Roman"/>
          <w:color w:val="252525" w:themeColor="text1" w:themeTint="D9"/>
          <w:szCs w:val="21"/>
          <w:lang w:eastAsia="zh-CN"/>
        </w:rPr>
        <w:t>内</w:t>
      </w:r>
      <w:r>
        <w:rPr>
          <w:rFonts w:hint="eastAsia" w:ascii="Times New Roman" w:hAnsi="Times New Roman" w:eastAsia="方正仿宋_GBK" w:cs="Times New Roman"/>
          <w:color w:val="252525" w:themeColor="text1" w:themeTint="D9"/>
          <w:szCs w:val="21"/>
        </w:rPr>
        <w:t>按年度分期缴清</w:t>
      </w:r>
      <w:r>
        <w:rPr>
          <w:rFonts w:hint="eastAsia" w:ascii="Times New Roman" w:hAnsi="Times New Roman" w:eastAsia="方正仿宋_GBK" w:cs="Times New Roman"/>
          <w:color w:val="252525" w:themeColor="text1" w:themeTint="D9"/>
          <w:szCs w:val="21"/>
          <w:lang w:eastAsia="zh-CN"/>
        </w:rPr>
        <w:t>。其中，矿山生产规模为中型及以上的，均摊征收年限不少于采矿许可证有效期的一半。</w:t>
      </w:r>
    </w:p>
    <w:p w14:paraId="7447D497">
      <w:pPr>
        <w:spacing w:line="360" w:lineRule="exact"/>
        <w:ind w:firstLine="420" w:firstLineChars="200"/>
        <w:rPr>
          <w:rFonts w:ascii="Times New Roman" w:hAnsi="Times New Roman" w:eastAsia="方正黑体_GBK" w:cs="Times New Roman"/>
          <w:color w:val="252525" w:themeColor="text1" w:themeTint="D9"/>
          <w:kern w:val="0"/>
          <w:szCs w:val="21"/>
        </w:rPr>
      </w:pPr>
      <w:r>
        <w:rPr>
          <w:rFonts w:ascii="Times New Roman" w:hAnsi="Times New Roman" w:eastAsia="方正黑体_GBK" w:cs="Times New Roman"/>
          <w:color w:val="252525" w:themeColor="text1" w:themeTint="D9"/>
          <w:kern w:val="0"/>
          <w:szCs w:val="21"/>
        </w:rPr>
        <w:t>七、风险提示</w:t>
      </w:r>
    </w:p>
    <w:p w14:paraId="793C58F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（一）因地质勘查工作实际需要，有关该宗探矿权的用地、用水、用电、公路、环保</w:t>
      </w:r>
      <w:r>
        <w:rPr>
          <w:rFonts w:hint="eastAsia" w:ascii="Times New Roman" w:hAnsi="Times New Roman" w:eastAsia="方正仿宋_GBK" w:cs="Times New Roman"/>
          <w:color w:val="252525" w:themeColor="text1" w:themeTint="D9"/>
          <w:szCs w:val="21"/>
          <w:lang w:eastAsia="zh-CN"/>
        </w:rPr>
        <w:t>、</w:t>
      </w:r>
      <w:r>
        <w:rPr>
          <w:rFonts w:ascii="Times New Roman" w:hAnsi="Times New Roman" w:eastAsia="方正仿宋_GBK" w:cs="Times New Roman"/>
          <w:color w:val="252525" w:themeColor="text1" w:themeTint="D9"/>
          <w:szCs w:val="21"/>
        </w:rPr>
        <w:t>基础设施等工作，由竞得人自行负责解决并依法完善相关手续。</w:t>
      </w:r>
    </w:p>
    <w:p w14:paraId="2A23F27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14:paraId="5F18FB8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（三）非因出让人过失造成的探矿权损减（包含但不限于勘查区块面积缩减、勘查许可证废止、勘查许可证被吊销、出让合同终止等），出让人已经收取的探矿权出让收益等费用一律不予退还。</w:t>
      </w:r>
    </w:p>
    <w:p w14:paraId="7D8B04F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（四）矿产资源勘查有着不可预见的风险，竞买申请人须慎重并自行承担风险。出现包含但不限于下列的情形，出让人不退还已收取的探矿权出让收益等相关费用：</w:t>
      </w:r>
    </w:p>
    <w:p w14:paraId="24FF437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1.在勘查许可证载明的区块范围和有效期限内，不能找到可供开采的矿产资源的；</w:t>
      </w:r>
    </w:p>
    <w:p w14:paraId="51B966C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2.法律法规修改或国家政策变化、矿产资源规划调整，包括但不限于安全、环境保护、产业政策等要求,对特定探矿手段、选矿方法的限制对探矿权造成不利影响或不能转为采矿权的；</w:t>
      </w:r>
    </w:p>
    <w:p w14:paraId="37C3BA7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3.以往开展的地质工作、形成的地质勘查资料存在瑕疵的。</w:t>
      </w:r>
    </w:p>
    <w:p w14:paraId="4BDC00D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（五）网络安全风险提示。申请人或竞得人网上报名行为所产生的法律后果，由申请人或竞得人自行承担。</w:t>
      </w:r>
    </w:p>
    <w:p w14:paraId="1140549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14:paraId="78E5158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14:paraId="519D222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因网上交易系统出现故障，造成探矿权网上交易出现异常情况的，按照《重庆市国有建设用地使用权和矿业权网上交易应急处置暂行规定》的有关规定进行处置。</w:t>
      </w:r>
    </w:p>
    <w:p w14:paraId="2D0C99F8">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szCs w:val="21"/>
        </w:rPr>
        <w:t>八、违约责任、公共资源交易领域失信联合惩戒相关提示</w:t>
      </w:r>
    </w:p>
    <w:p w14:paraId="0CD8E19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59A4AD20">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14:paraId="064A5308">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14:paraId="6D2BD861">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14:paraId="4664AB9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14:paraId="6A41F17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14:paraId="556C7AED">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14:paraId="0A4CD4F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14:paraId="2E657E50">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szCs w:val="21"/>
        </w:rPr>
        <w:t>九、出让合同签订事宜说明</w:t>
      </w:r>
    </w:p>
    <w:p w14:paraId="3089510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探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探矿权。合同签订申请资料如下：</w:t>
      </w:r>
    </w:p>
    <w:p w14:paraId="4A2B0C24">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1.探矿权出让合同签订申请书（原件1份）；</w:t>
      </w:r>
    </w:p>
    <w:p w14:paraId="57F3926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2.探矿权成交确认书（复印件1份）；</w:t>
      </w:r>
    </w:p>
    <w:p w14:paraId="5B3DD782">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14:paraId="7137868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14:paraId="77DFDE6A">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14:paraId="05E7DE85">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14:paraId="2889BF59">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7.按照成交结果完善的《重庆市探矿权出让合同》签章件6份（原件）。</w:t>
      </w:r>
    </w:p>
    <w:p w14:paraId="430A3C08">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szCs w:val="21"/>
        </w:rPr>
        <w:t>十、对交易矿业权异议的处理方式</w:t>
      </w:r>
    </w:p>
    <w:p w14:paraId="08A22CD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对本次出让的探矿权存有异议、投诉或举报的，应在公告期截止前以书面方式向</w:t>
      </w:r>
      <w:r>
        <w:rPr>
          <w:rFonts w:hint="eastAsia" w:ascii="Times New Roman" w:hAnsi="Times New Roman" w:eastAsia="方正仿宋_GBK" w:cs="Times New Roman"/>
          <w:color w:val="252525" w:themeColor="text1" w:themeTint="D9"/>
          <w:szCs w:val="21"/>
          <w:lang w:eastAsia="zh-CN"/>
        </w:rPr>
        <w:t>重庆市开州区</w:t>
      </w:r>
      <w:r>
        <w:rPr>
          <w:rFonts w:ascii="Times New Roman" w:hAnsi="Times New Roman" w:eastAsia="方正仿宋_GBK" w:cs="Times New Roman"/>
          <w:color w:val="252525" w:themeColor="text1" w:themeTint="D9"/>
          <w:szCs w:val="21"/>
        </w:rPr>
        <w:t>规划和自然资源局提出（联系人：</w:t>
      </w:r>
      <w:r>
        <w:rPr>
          <w:rFonts w:hint="eastAsia" w:ascii="Times New Roman" w:hAnsi="Times New Roman" w:eastAsia="方正仿宋_GBK" w:cs="Times New Roman"/>
          <w:color w:val="252525" w:themeColor="text1" w:themeTint="D9"/>
          <w:szCs w:val="21"/>
          <w:lang w:eastAsia="zh-CN"/>
        </w:rPr>
        <w:t>陈老师</w:t>
      </w:r>
      <w:r>
        <w:rPr>
          <w:rFonts w:ascii="Times New Roman" w:hAnsi="Times New Roman" w:eastAsia="方正仿宋_GBK" w:cs="Times New Roman"/>
          <w:color w:val="252525" w:themeColor="text1" w:themeTint="D9"/>
          <w:szCs w:val="21"/>
        </w:rPr>
        <w:t>，联系电话：</w:t>
      </w:r>
      <w:r>
        <w:rPr>
          <w:rFonts w:hint="eastAsia" w:ascii="Times New Roman" w:hAnsi="Times New Roman" w:eastAsia="方正仿宋_GBK" w:cs="Times New Roman"/>
          <w:color w:val="252525" w:themeColor="text1" w:themeTint="D9"/>
          <w:szCs w:val="21"/>
          <w:lang w:val="en-US" w:eastAsia="zh-CN"/>
        </w:rPr>
        <w:t>023-52299085</w:t>
      </w:r>
      <w:r>
        <w:rPr>
          <w:rFonts w:ascii="Times New Roman" w:hAnsi="Times New Roman" w:eastAsia="方正仿宋_GBK" w:cs="Times New Roman"/>
          <w:color w:val="252525" w:themeColor="text1" w:themeTint="D9"/>
          <w:szCs w:val="21"/>
        </w:rPr>
        <w:t>）。根据所提异议、投诉或举报的具体情况，按照《矿业权出让交易规则》（自然资规〔2023〕1号）等相关规定进行妥善处置。</w:t>
      </w:r>
    </w:p>
    <w:p w14:paraId="011C9D2A">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szCs w:val="21"/>
        </w:rPr>
        <w:t>十一、交易中止或终止</w:t>
      </w:r>
    </w:p>
    <w:p w14:paraId="49D622EC">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14:paraId="44F9504B">
      <w:pPr>
        <w:spacing w:line="360" w:lineRule="exact"/>
        <w:ind w:left="425"/>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14:paraId="48399CB2">
      <w:pPr>
        <w:spacing w:line="360" w:lineRule="exact"/>
        <w:ind w:left="425"/>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14:paraId="5DA846F2">
      <w:pPr>
        <w:spacing w:line="360" w:lineRule="exact"/>
        <w:ind w:left="425"/>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14:paraId="728E59EA">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14:paraId="24BCBD18">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1.出让人因有关政策规定、矿业权出让所依据的客观情况等发生重大变化提出终止交易；</w:t>
      </w:r>
    </w:p>
    <w:p w14:paraId="7EE4A26B">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w:t>
      </w:r>
    </w:p>
    <w:p w14:paraId="269CBB7E">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14:paraId="0ADF44CF">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14:paraId="3F1B3DCF">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14:paraId="1594FCB2">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14:paraId="0F56C6EC">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14:paraId="08D9D09A">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0B8E9064">
      <w:pPr>
        <w:spacing w:line="360" w:lineRule="exact"/>
        <w:ind w:firstLine="420" w:firstLineChars="200"/>
        <w:rPr>
          <w:rFonts w:ascii="Times New Roman" w:hAnsi="Times New Roman" w:eastAsia="方正黑体_GBK" w:cs="Times New Roman"/>
          <w:color w:val="252525" w:themeColor="text1" w:themeTint="D9"/>
          <w:szCs w:val="21"/>
        </w:rPr>
      </w:pPr>
      <w:r>
        <w:rPr>
          <w:rFonts w:ascii="Times New Roman" w:hAnsi="Times New Roman" w:eastAsia="方正黑体_GBK" w:cs="Times New Roman"/>
          <w:color w:val="252525" w:themeColor="text1" w:themeTint="D9"/>
          <w:szCs w:val="21"/>
        </w:rPr>
        <w:t>十二、其他重要提示</w:t>
      </w:r>
    </w:p>
    <w:p w14:paraId="07C1845B">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（一）竞得人在探矿权区块范围内开展勘查工作应按照《矿山地质环境保护规定》履行矿山地质环境保护相关义务。</w:t>
      </w:r>
    </w:p>
    <w:p w14:paraId="76BF61BF">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二</w:t>
      </w:r>
      <w:r>
        <w:rPr>
          <w:rFonts w:ascii="Times New Roman" w:hAnsi="Times New Roman" w:eastAsia="方正仿宋_GBK" w:cs="Times New Roman"/>
          <w:color w:val="252525" w:themeColor="text1" w:themeTint="D9"/>
          <w:szCs w:val="21"/>
          <w:u w:val="none"/>
        </w:rPr>
        <w:t>）矿产资源勘查有着不可预见的风险，本宗探矿权出让前期技术报告编制工作使用的技术依据中部分为类比参考，存在一定的不确定和不完整性因素，竞买申请人须自行承担风险。</w:t>
      </w:r>
    </w:p>
    <w:p w14:paraId="739B4772">
      <w:pPr>
        <w:spacing w:line="360" w:lineRule="exact"/>
        <w:ind w:firstLine="422" w:firstLineChars="200"/>
        <w:rPr>
          <w:rFonts w:ascii="Times New Roman" w:hAnsi="Times New Roman" w:eastAsia="方正仿宋_GBK" w:cs="Times New Roman"/>
          <w:b/>
          <w:bCs/>
          <w:color w:val="252525" w:themeColor="text1" w:themeTint="D9"/>
          <w:szCs w:val="21"/>
          <w:u w:val="single"/>
        </w:rPr>
      </w:pPr>
    </w:p>
    <w:p w14:paraId="106CCBD6">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14:paraId="6E3CC71C">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14:paraId="4DC84CB2">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14:paraId="4F97D4DA">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重庆市探矿权出让合同（模板）</w:t>
      </w:r>
    </w:p>
    <w:p w14:paraId="7D32D454">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14:paraId="6DF0A84D">
      <w:pPr>
        <w:spacing w:line="360" w:lineRule="exact"/>
        <w:ind w:firstLine="420" w:firstLineChars="200"/>
        <w:jc w:val="right"/>
        <w:rPr>
          <w:rFonts w:ascii="Times New Roman" w:hAnsi="Times New Roman" w:eastAsia="方正仿宋_GBK" w:cs="Times New Roman"/>
          <w:color w:val="252525" w:themeColor="text1" w:themeTint="D9"/>
          <w:szCs w:val="21"/>
        </w:rPr>
      </w:pPr>
    </w:p>
    <w:p w14:paraId="0C932EC2">
      <w:pPr>
        <w:spacing w:line="360" w:lineRule="exact"/>
        <w:ind w:firstLine="420" w:firstLineChars="20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    年   月   日</w:t>
      </w:r>
    </w:p>
    <w:tbl>
      <w:tblPr>
        <w:tblStyle w:val="8"/>
        <w:tblpPr w:leftFromText="180" w:rightFromText="180" w:vertAnchor="text" w:horzAnchor="margin" w:tblpXSpec="center" w:tblpY="426"/>
        <w:tblOverlap w:val="never"/>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1D99C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1" w:hRule="exact"/>
          <w:jc w:val="center"/>
        </w:trPr>
        <w:tc>
          <w:tcPr>
            <w:tcW w:w="8359" w:type="dxa"/>
          </w:tcPr>
          <w:p w14:paraId="45AB0265">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 xml:space="preserve">（填写已自行踏勘、知晓、自愿等声明）       </w:t>
            </w:r>
          </w:p>
          <w:p w14:paraId="31249C5B">
            <w:pPr>
              <w:spacing w:line="360" w:lineRule="exact"/>
              <w:rPr>
                <w:rFonts w:ascii="Times New Roman" w:hAnsi="Times New Roman" w:eastAsia="方正仿宋_GBK" w:cs="Times New Roman"/>
                <w:color w:val="252525" w:themeColor="text1" w:themeTint="D9"/>
                <w:szCs w:val="21"/>
                <w:u w:val="single"/>
              </w:rPr>
            </w:pPr>
          </w:p>
          <w:p w14:paraId="65DC2DB5">
            <w:pPr>
              <w:spacing w:line="360" w:lineRule="exact"/>
              <w:rPr>
                <w:rFonts w:ascii="Times New Roman" w:hAnsi="Times New Roman" w:eastAsia="方正仿宋_GBK" w:cs="Times New Roman"/>
                <w:color w:val="252525" w:themeColor="text1" w:themeTint="D9"/>
                <w:szCs w:val="21"/>
                <w:u w:val="single"/>
              </w:rPr>
            </w:pPr>
          </w:p>
          <w:p w14:paraId="35B61AE2">
            <w:pPr>
              <w:spacing w:line="360" w:lineRule="exact"/>
              <w:rPr>
                <w:rFonts w:ascii="Times New Roman" w:hAnsi="Times New Roman" w:eastAsia="方正仿宋_GBK" w:cs="Times New Roman"/>
                <w:color w:val="252525" w:themeColor="text1" w:themeTint="D9"/>
                <w:szCs w:val="21"/>
                <w:u w:val="single"/>
              </w:rPr>
            </w:pPr>
          </w:p>
          <w:p w14:paraId="50BE46EC">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14:paraId="52288298">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14:paraId="63D58C9B">
            <w:pPr>
              <w:spacing w:line="360" w:lineRule="exact"/>
              <w:jc w:val="center"/>
              <w:rPr>
                <w:rFonts w:ascii="Times New Roman" w:hAnsi="Times New Roman" w:eastAsia="方正仿宋_GBK" w:cs="Times New Roman"/>
                <w:color w:val="252525" w:themeColor="text1" w:themeTint="D9"/>
                <w:szCs w:val="21"/>
              </w:rPr>
            </w:pPr>
          </w:p>
          <w:p w14:paraId="684B67D2">
            <w:pPr>
              <w:spacing w:line="360" w:lineRule="exact"/>
              <w:jc w:val="center"/>
              <w:rPr>
                <w:rFonts w:ascii="Times New Roman" w:hAnsi="Times New Roman" w:eastAsia="方正仿宋_GBK" w:cs="Times New Roman"/>
                <w:color w:val="252525" w:themeColor="text1" w:themeTint="D9"/>
                <w:szCs w:val="21"/>
              </w:rPr>
            </w:pPr>
          </w:p>
          <w:p w14:paraId="44479633">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   月  日</w:t>
            </w:r>
          </w:p>
        </w:tc>
      </w:tr>
    </w:tbl>
    <w:p w14:paraId="06AEF3A9">
      <w:pPr>
        <w:spacing w:line="360" w:lineRule="exact"/>
        <w:rPr>
          <w:rFonts w:ascii="Times New Roman" w:hAnsi="Times New Roman" w:cs="Times New Roman"/>
          <w:color w:val="252525" w:themeColor="text1" w:themeTint="D9"/>
          <w:szCs w:val="21"/>
        </w:rPr>
      </w:pPr>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04729">
    <w:pPr>
      <w:pStyle w:val="5"/>
      <w:jc w:val="center"/>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7CC145EB">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yNzYyNDI1MDg4ZTUyYWFjODlmN2NlNjJmMDZhZDgifQ=="/>
  </w:docVars>
  <w:rsids>
    <w:rsidRoot w:val="00B63BD3"/>
    <w:rsid w:val="0008759F"/>
    <w:rsid w:val="001B0EA6"/>
    <w:rsid w:val="002559D9"/>
    <w:rsid w:val="002922CB"/>
    <w:rsid w:val="002C71C0"/>
    <w:rsid w:val="002D4496"/>
    <w:rsid w:val="002D7C3C"/>
    <w:rsid w:val="006B4338"/>
    <w:rsid w:val="00844DD3"/>
    <w:rsid w:val="009E5744"/>
    <w:rsid w:val="00B2153B"/>
    <w:rsid w:val="00B33CF6"/>
    <w:rsid w:val="00B502B2"/>
    <w:rsid w:val="00B63BD3"/>
    <w:rsid w:val="00B85C3D"/>
    <w:rsid w:val="00C47947"/>
    <w:rsid w:val="00C91C29"/>
    <w:rsid w:val="00CD45CA"/>
    <w:rsid w:val="00D327DF"/>
    <w:rsid w:val="00E26829"/>
    <w:rsid w:val="00E96F50"/>
    <w:rsid w:val="00ED6663"/>
    <w:rsid w:val="00F2630C"/>
    <w:rsid w:val="00F963D7"/>
    <w:rsid w:val="00FD3CF5"/>
    <w:rsid w:val="01267CB6"/>
    <w:rsid w:val="0176629F"/>
    <w:rsid w:val="03D33559"/>
    <w:rsid w:val="04E6106A"/>
    <w:rsid w:val="07CD6512"/>
    <w:rsid w:val="080D2CC3"/>
    <w:rsid w:val="0935611C"/>
    <w:rsid w:val="0975148E"/>
    <w:rsid w:val="09AA69C5"/>
    <w:rsid w:val="0A337BCA"/>
    <w:rsid w:val="0B8E7D66"/>
    <w:rsid w:val="0D2876AE"/>
    <w:rsid w:val="0E666D78"/>
    <w:rsid w:val="0EF820C6"/>
    <w:rsid w:val="0EF97BEC"/>
    <w:rsid w:val="0EFF6DDD"/>
    <w:rsid w:val="0FA1450C"/>
    <w:rsid w:val="0FE57818"/>
    <w:rsid w:val="1021389E"/>
    <w:rsid w:val="103B2B53"/>
    <w:rsid w:val="14DB05D6"/>
    <w:rsid w:val="177D3630"/>
    <w:rsid w:val="180209C1"/>
    <w:rsid w:val="185F32D6"/>
    <w:rsid w:val="186E51A7"/>
    <w:rsid w:val="1BF36A1A"/>
    <w:rsid w:val="1EC04283"/>
    <w:rsid w:val="1F6E1398"/>
    <w:rsid w:val="22205764"/>
    <w:rsid w:val="22934188"/>
    <w:rsid w:val="23FC7B0B"/>
    <w:rsid w:val="246A53BC"/>
    <w:rsid w:val="256E67E6"/>
    <w:rsid w:val="26177D67"/>
    <w:rsid w:val="267C058C"/>
    <w:rsid w:val="28884063"/>
    <w:rsid w:val="29B87F6B"/>
    <w:rsid w:val="2A297BE5"/>
    <w:rsid w:val="2A8B3383"/>
    <w:rsid w:val="2E385B85"/>
    <w:rsid w:val="2E4C0751"/>
    <w:rsid w:val="2EF53AD4"/>
    <w:rsid w:val="2F942603"/>
    <w:rsid w:val="2FD25F02"/>
    <w:rsid w:val="338673F1"/>
    <w:rsid w:val="338D3BB3"/>
    <w:rsid w:val="34827E60"/>
    <w:rsid w:val="3C243C4B"/>
    <w:rsid w:val="3C377BBD"/>
    <w:rsid w:val="3CCD6091"/>
    <w:rsid w:val="3EB57CDB"/>
    <w:rsid w:val="3EDC44D3"/>
    <w:rsid w:val="40266942"/>
    <w:rsid w:val="405D5C78"/>
    <w:rsid w:val="40C91FCF"/>
    <w:rsid w:val="41187A27"/>
    <w:rsid w:val="428910E3"/>
    <w:rsid w:val="43A833B4"/>
    <w:rsid w:val="45897C22"/>
    <w:rsid w:val="47797541"/>
    <w:rsid w:val="478F28C0"/>
    <w:rsid w:val="47F3618E"/>
    <w:rsid w:val="4EAA3AF4"/>
    <w:rsid w:val="4F3B332E"/>
    <w:rsid w:val="4FA113E3"/>
    <w:rsid w:val="514F7B3C"/>
    <w:rsid w:val="52AF3DBD"/>
    <w:rsid w:val="54556C40"/>
    <w:rsid w:val="5A3C6C73"/>
    <w:rsid w:val="5AC1568D"/>
    <w:rsid w:val="5C013209"/>
    <w:rsid w:val="5DD12577"/>
    <w:rsid w:val="5F6B5DD3"/>
    <w:rsid w:val="62D655BC"/>
    <w:rsid w:val="63C15838"/>
    <w:rsid w:val="64B556C7"/>
    <w:rsid w:val="6BA73DCD"/>
    <w:rsid w:val="6BE20961"/>
    <w:rsid w:val="6C1D5E3D"/>
    <w:rsid w:val="6D5979E9"/>
    <w:rsid w:val="6DE34FA0"/>
    <w:rsid w:val="6F4A764A"/>
    <w:rsid w:val="70840239"/>
    <w:rsid w:val="70E61BC2"/>
    <w:rsid w:val="71105F71"/>
    <w:rsid w:val="71E97B88"/>
    <w:rsid w:val="722577FA"/>
    <w:rsid w:val="72410C06"/>
    <w:rsid w:val="729E4B62"/>
    <w:rsid w:val="738A1B7C"/>
    <w:rsid w:val="74363F40"/>
    <w:rsid w:val="74A76BEC"/>
    <w:rsid w:val="76AA4771"/>
    <w:rsid w:val="78152F1E"/>
    <w:rsid w:val="787435E3"/>
    <w:rsid w:val="791F1C65"/>
    <w:rsid w:val="7A8377B3"/>
    <w:rsid w:val="7B870D39"/>
    <w:rsid w:val="7CF25B41"/>
    <w:rsid w:val="7DEC566F"/>
    <w:rsid w:val="7E861620"/>
    <w:rsid w:val="7F231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ind w:left="100" w:firstLine="559"/>
      <w:jc w:val="left"/>
    </w:pPr>
    <w:rPr>
      <w:rFonts w:ascii="宋体" w:hAnsi="宋体"/>
      <w:kern w:val="0"/>
      <w:sz w:val="28"/>
      <w:szCs w:val="28"/>
      <w:lang w:eastAsia="en-US"/>
    </w:rPr>
  </w:style>
  <w:style w:type="paragraph" w:styleId="3">
    <w:name w:val="Body Text Indent"/>
    <w:basedOn w:val="1"/>
    <w:qFormat/>
    <w:uiPriority w:val="0"/>
    <w:pPr>
      <w:ind w:firstLine="640"/>
    </w:pPr>
    <w:rPr>
      <w:rFonts w:eastAsia="仿宋_GB2312"/>
      <w:sz w:val="32"/>
      <w:szCs w:val="20"/>
    </w:rPr>
  </w:style>
  <w:style w:type="paragraph" w:styleId="4">
    <w:name w:val="Normal Indent"/>
    <w:basedOn w:val="1"/>
    <w:qFormat/>
    <w:uiPriority w:val="0"/>
    <w:pPr>
      <w:ind w:firstLine="420" w:firstLineChars="200"/>
    </w:p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szCs w:val="24"/>
    </w:rPr>
  </w:style>
  <w:style w:type="character" w:styleId="10">
    <w:name w:val="Strong"/>
    <w:basedOn w:val="9"/>
    <w:qFormat/>
    <w:uiPriority w:val="22"/>
    <w:rPr>
      <w:b/>
      <w:bCs/>
    </w:rPr>
  </w:style>
  <w:style w:type="character" w:customStyle="1" w:styleId="11">
    <w:name w:val="页眉 Char"/>
    <w:basedOn w:val="9"/>
    <w:link w:val="6"/>
    <w:qFormat/>
    <w:uiPriority w:val="0"/>
    <w:rPr>
      <w:rFonts w:asciiTheme="minorHAnsi" w:hAnsiTheme="minorHAnsi" w:eastAsiaTheme="minorEastAsia" w:cstheme="minorBidi"/>
      <w:kern w:val="2"/>
      <w:sz w:val="18"/>
      <w:szCs w:val="18"/>
    </w:rPr>
  </w:style>
  <w:style w:type="character" w:customStyle="1" w:styleId="12">
    <w:name w:val="页脚 Char"/>
    <w:basedOn w:val="9"/>
    <w:link w:val="5"/>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5622</Words>
  <Characters>6141</Characters>
  <Lines>42</Lines>
  <Paragraphs>12</Paragraphs>
  <TotalTime>37</TotalTime>
  <ScaleCrop>false</ScaleCrop>
  <LinksUpToDate>false</LinksUpToDate>
  <CharactersWithSpaces>6174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2024-12-09T02:43:00Z</cp:lastPrinted>
  <dcterms:modified xsi:type="dcterms:W3CDTF">2024-12-09T02:43:03Z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4E28D25094554BDA9D78319F98BD09E8_13</vt:lpwstr>
  </property>
</Properties>
</file>