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after="0" w:afterLines="0" w:line="600" w:lineRule="exact"/>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28"/>
          <w:szCs w:val="28"/>
          <w:highlight w:val="none"/>
        </w:rPr>
        <w:t>采矿权拍卖出让文件</w:t>
      </w:r>
    </w:p>
    <w:p>
      <w:pPr>
        <w:keepNext w:val="0"/>
        <w:keepLines w:val="0"/>
        <w:pageBreakBefore w:val="0"/>
        <w:kinsoku/>
        <w:wordWrap w:val="0"/>
        <w:overflowPunct/>
        <w:topLinePunct w:val="0"/>
        <w:autoSpaceDE/>
        <w:autoSpaceDN/>
        <w:bidi w:val="0"/>
        <w:spacing w:after="0" w:afterLines="0" w:line="360" w:lineRule="exact"/>
        <w:jc w:val="right"/>
        <w:textAlignment w:val="auto"/>
        <w:rPr>
          <w:rFonts w:hint="default" w:ascii="Times New Roman" w:hAnsi="Times New Roman" w:eastAsia="宋体" w:cs="Times New Roman"/>
          <w:b/>
          <w:color w:val="auto"/>
          <w:sz w:val="32"/>
          <w:szCs w:val="32"/>
          <w:highlight w:val="none"/>
        </w:rPr>
      </w:pPr>
    </w:p>
    <w:p>
      <w:pPr>
        <w:keepNext w:val="0"/>
        <w:keepLines w:val="0"/>
        <w:pageBreakBefore w:val="0"/>
        <w:kinsoku/>
        <w:wordWrap w:val="0"/>
        <w:overflowPunct/>
        <w:topLinePunct w:val="0"/>
        <w:autoSpaceDE/>
        <w:autoSpaceDN/>
        <w:bidi w:val="0"/>
        <w:spacing w:after="0" w:afterLines="0" w:line="360" w:lineRule="exact"/>
        <w:jc w:val="right"/>
        <w:textAlignment w:val="auto"/>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方正仿宋_GBK" w:cs="Times New Roman"/>
          <w:b/>
          <w:color w:val="auto"/>
          <w:sz w:val="21"/>
          <w:szCs w:val="21"/>
          <w:highlight w:val="none"/>
        </w:rPr>
        <w:t>公告序号：</w:t>
      </w:r>
      <w:r>
        <w:rPr>
          <w:rFonts w:hint="default" w:ascii="Times New Roman" w:hAnsi="Times New Roman" w:eastAsia="宋体" w:cs="Times New Roman"/>
          <w:b/>
          <w:i w:val="0"/>
          <w:iCs w:val="0"/>
          <w:color w:val="auto"/>
          <w:sz w:val="21"/>
          <w:szCs w:val="21"/>
          <w:highlight w:val="none"/>
          <w:u w:val="single"/>
        </w:rPr>
        <w:t>B</w:t>
      </w:r>
      <w:r>
        <w:rPr>
          <w:rFonts w:hint="default" w:ascii="Times New Roman" w:hAnsi="Times New Roman" w:eastAsia="宋体" w:cs="Times New Roman"/>
          <w:b/>
          <w:i w:val="0"/>
          <w:iCs w:val="0"/>
          <w:color w:val="auto"/>
          <w:sz w:val="21"/>
          <w:szCs w:val="21"/>
          <w:highlight w:val="none"/>
          <w:u w:val="single"/>
          <w:lang w:val="en-US" w:eastAsia="zh-CN"/>
        </w:rPr>
        <w:t>N</w:t>
      </w:r>
      <w:r>
        <w:rPr>
          <w:rFonts w:hint="default" w:ascii="Times New Roman" w:hAnsi="Times New Roman" w:eastAsia="宋体" w:cs="Times New Roman"/>
          <w:b/>
          <w:i w:val="0"/>
          <w:iCs w:val="0"/>
          <w:color w:val="auto"/>
          <w:sz w:val="21"/>
          <w:szCs w:val="21"/>
          <w:highlight w:val="none"/>
          <w:u w:val="single"/>
        </w:rPr>
        <w:t>GC202</w:t>
      </w:r>
      <w:r>
        <w:rPr>
          <w:rFonts w:hint="default" w:ascii="Times New Roman" w:hAnsi="Times New Roman" w:eastAsia="宋体" w:cs="Times New Roman"/>
          <w:b/>
          <w:i w:val="0"/>
          <w:iCs w:val="0"/>
          <w:color w:val="auto"/>
          <w:sz w:val="21"/>
          <w:szCs w:val="21"/>
          <w:highlight w:val="none"/>
          <w:u w:val="single"/>
          <w:lang w:val="en-US" w:eastAsia="zh-CN"/>
        </w:rPr>
        <w:t>5</w:t>
      </w:r>
      <w:r>
        <w:rPr>
          <w:rFonts w:hint="eastAsia" w:eastAsia="宋体" w:cs="Times New Roman"/>
          <w:b/>
          <w:i w:val="0"/>
          <w:iCs w:val="0"/>
          <w:color w:val="auto"/>
          <w:sz w:val="21"/>
          <w:szCs w:val="21"/>
          <w:highlight w:val="none"/>
          <w:u w:val="single"/>
          <w:lang w:val="en-US" w:eastAsia="zh-CN"/>
        </w:rPr>
        <w:t>01</w:t>
      </w:r>
    </w:p>
    <w:p>
      <w:pPr>
        <w:keepNext w:val="0"/>
        <w:keepLines w:val="0"/>
        <w:pageBreakBefore w:val="0"/>
        <w:kinsoku/>
        <w:overflowPunct/>
        <w:topLinePunct w:val="0"/>
        <w:autoSpaceDE/>
        <w:autoSpaceDN/>
        <w:bidi w:val="0"/>
        <w:spacing w:after="0" w:afterLines="0" w:line="360" w:lineRule="exact"/>
        <w:ind w:firstLine="448" w:firstLineChars="204"/>
        <w:textAlignment w:val="auto"/>
        <w:rPr>
          <w:rFonts w:hint="default" w:ascii="Times New Roman" w:hAnsi="Times New Roman" w:eastAsia="方正仿宋_GBK" w:cs="Times New Roman"/>
          <w:color w:val="auto"/>
          <w:sz w:val="22"/>
          <w:szCs w:val="22"/>
          <w:highlight w:val="none"/>
        </w:rPr>
      </w:pPr>
    </w:p>
    <w:p>
      <w:pPr>
        <w:keepNext w:val="0"/>
        <w:keepLines w:val="0"/>
        <w:pageBreakBefore w:val="0"/>
        <w:kinsoku/>
        <w:overflowPunct/>
        <w:topLinePunct w:val="0"/>
        <w:autoSpaceDE/>
        <w:autoSpaceDN/>
        <w:bidi w:val="0"/>
        <w:spacing w:after="0" w:afterLines="0" w:line="360" w:lineRule="exact"/>
        <w:ind w:firstLine="428" w:firstLineChars="204"/>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为合理开发利用矿产资源，维护矿产资源的国家所有权，建立规范、开放、竞争、有序的矿业权市场，根据《矿业权出让交易规则》（自然资规〔2023〕1号）有关规定，</w:t>
      </w:r>
      <w:r>
        <w:rPr>
          <w:rFonts w:hint="eastAsia" w:cs="Times New Roman"/>
          <w:color w:val="auto"/>
          <w:sz w:val="21"/>
          <w:szCs w:val="21"/>
          <w:highlight w:val="none"/>
          <w:lang w:val="en-US" w:eastAsia="zh-CN"/>
        </w:rPr>
        <w:t>重庆市巴南区</w:t>
      </w:r>
      <w:r>
        <w:rPr>
          <w:rFonts w:hint="default" w:ascii="Times New Roman" w:hAnsi="Times New Roman" w:eastAsia="方正仿宋_GBK" w:cs="Times New Roman"/>
          <w:color w:val="auto"/>
          <w:sz w:val="21"/>
          <w:szCs w:val="21"/>
          <w:highlight w:val="none"/>
        </w:rPr>
        <w:t>规划和自然资源局决定公开拍卖出让以下采矿权，并委托重庆市公共资源交易中心负责公开出让交易环节的组织实施，本次公开出让的采矿权采用网上交易方式。</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一、出让采矿权基本情况</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（一）公告时间：202</w:t>
      </w:r>
      <w:r>
        <w:rPr>
          <w:rFonts w:hint="default" w:ascii="Times New Roman" w:hAnsi="Times New Roman" w:cs="Times New Roman"/>
          <w:color w:val="auto"/>
          <w:sz w:val="21"/>
          <w:szCs w:val="21"/>
          <w:highlight w:val="none"/>
          <w:lang w:val="en-US" w:eastAsia="zh-CN"/>
        </w:rPr>
        <w:t>5</w:t>
      </w:r>
      <w:r>
        <w:rPr>
          <w:rFonts w:hint="default" w:ascii="Times New Roman" w:hAnsi="Times New Roman" w:eastAsia="方正仿宋_GBK" w:cs="Times New Roman"/>
          <w:color w:val="auto"/>
          <w:sz w:val="21"/>
          <w:szCs w:val="21"/>
          <w:highlight w:val="none"/>
        </w:rPr>
        <w:t>年</w:t>
      </w:r>
      <w:r>
        <w:rPr>
          <w:rFonts w:hint="default" w:ascii="Times New Roman" w:hAnsi="Times New Roman" w:cs="Times New Roman"/>
          <w:color w:val="auto"/>
          <w:sz w:val="21"/>
          <w:szCs w:val="21"/>
          <w:highlight w:val="none"/>
          <w:u w:val="single"/>
          <w:lang w:val="en-US" w:eastAsia="zh-CN"/>
        </w:rPr>
        <w:t>5</w:t>
      </w:r>
      <w:r>
        <w:rPr>
          <w:rFonts w:hint="default" w:ascii="Times New Roman" w:hAnsi="Times New Roman" w:eastAsia="方正仿宋_GBK" w:cs="Times New Roman"/>
          <w:color w:val="auto"/>
          <w:sz w:val="21"/>
          <w:szCs w:val="21"/>
          <w:highlight w:val="none"/>
        </w:rPr>
        <w:t>月</w:t>
      </w:r>
      <w:r>
        <w:rPr>
          <w:rFonts w:hint="eastAsia" w:cs="Times New Roman"/>
          <w:color w:val="auto"/>
          <w:sz w:val="21"/>
          <w:szCs w:val="21"/>
          <w:highlight w:val="none"/>
          <w:u w:val="single"/>
          <w:lang w:val="en-US" w:eastAsia="zh-CN"/>
        </w:rPr>
        <w:t>30</w:t>
      </w:r>
      <w:r>
        <w:rPr>
          <w:rFonts w:hint="default" w:ascii="Times New Roman" w:hAnsi="Times New Roman" w:eastAsia="方正仿宋_GBK" w:cs="Times New Roman"/>
          <w:color w:val="auto"/>
          <w:sz w:val="21"/>
          <w:szCs w:val="21"/>
          <w:highlight w:val="none"/>
        </w:rPr>
        <w:t>日</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rPr>
        <w:t>202</w:t>
      </w:r>
      <w:r>
        <w:rPr>
          <w:rFonts w:hint="default" w:ascii="Times New Roman" w:hAnsi="Times New Roman" w:cs="Times New Roman"/>
          <w:color w:val="auto"/>
          <w:sz w:val="21"/>
          <w:szCs w:val="21"/>
          <w:highlight w:val="none"/>
          <w:lang w:val="en-US" w:eastAsia="zh-CN"/>
        </w:rPr>
        <w:t>5</w:t>
      </w:r>
      <w:r>
        <w:rPr>
          <w:rFonts w:hint="default" w:ascii="Times New Roman" w:hAnsi="Times New Roman" w:eastAsia="方正仿宋_GBK" w:cs="Times New Roman"/>
          <w:color w:val="auto"/>
          <w:sz w:val="21"/>
          <w:szCs w:val="21"/>
          <w:highlight w:val="none"/>
        </w:rPr>
        <w:t>年</w:t>
      </w:r>
      <w:r>
        <w:rPr>
          <w:rFonts w:hint="default" w:ascii="Times New Roman" w:hAnsi="Times New Roman" w:cs="Times New Roman"/>
          <w:color w:val="auto"/>
          <w:sz w:val="21"/>
          <w:szCs w:val="21"/>
          <w:highlight w:val="none"/>
          <w:u w:val="single"/>
          <w:lang w:val="en-US" w:eastAsia="zh-CN"/>
        </w:rPr>
        <w:t>6</w:t>
      </w:r>
      <w:r>
        <w:rPr>
          <w:rFonts w:hint="default" w:ascii="Times New Roman" w:hAnsi="Times New Roman" w:eastAsia="方正仿宋_GBK" w:cs="Times New Roman"/>
          <w:color w:val="auto"/>
          <w:sz w:val="21"/>
          <w:szCs w:val="21"/>
          <w:highlight w:val="none"/>
        </w:rPr>
        <w:t>月</w:t>
      </w:r>
      <w:r>
        <w:rPr>
          <w:rFonts w:hint="eastAsia" w:cs="Times New Roman"/>
          <w:color w:val="auto"/>
          <w:sz w:val="21"/>
          <w:szCs w:val="21"/>
          <w:highlight w:val="none"/>
          <w:u w:val="single"/>
          <w:lang w:val="en-US" w:eastAsia="zh-CN"/>
        </w:rPr>
        <w:t>30</w:t>
      </w:r>
      <w:r>
        <w:rPr>
          <w:rFonts w:hint="default" w:ascii="Times New Roman" w:hAnsi="Times New Roman" w:eastAsia="方正仿宋_GBK" w:cs="Times New Roman"/>
          <w:color w:val="auto"/>
          <w:sz w:val="21"/>
          <w:szCs w:val="21"/>
          <w:highlight w:val="none"/>
        </w:rPr>
        <w:t>日；</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（二）采矿权名称（暂定名）：</w:t>
      </w:r>
      <w:bookmarkStart w:id="0" w:name="OLE_LINK1"/>
      <w:r>
        <w:rPr>
          <w:rFonts w:hint="default" w:ascii="Times New Roman" w:hAnsi="Times New Roman" w:eastAsia="方正仿宋_GBK" w:cs="Times New Roman"/>
          <w:color w:val="auto"/>
          <w:sz w:val="21"/>
          <w:szCs w:val="21"/>
          <w:highlight w:val="none"/>
          <w:lang w:val="en-US" w:eastAsia="zh-CN"/>
        </w:rPr>
        <w:t>重庆市巴南区东温泉镇佛灵街3号地热</w:t>
      </w:r>
      <w:bookmarkEnd w:id="0"/>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（三）矿山地址：</w:t>
      </w:r>
      <w:r>
        <w:rPr>
          <w:rFonts w:hint="default" w:ascii="Times New Roman" w:hAnsi="Times New Roman" w:eastAsia="方正仿宋_GBK" w:cs="Times New Roman"/>
          <w:color w:val="auto"/>
          <w:sz w:val="21"/>
          <w:szCs w:val="21"/>
          <w:highlight w:val="none"/>
          <w:lang w:val="en-US" w:eastAsia="zh-CN"/>
        </w:rPr>
        <w:t>重庆市巴南区东温泉镇佛灵街3号</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val="en-US" w:eastAsia="zh-CN"/>
        </w:rPr>
      </w:pPr>
      <w:r>
        <w:rPr>
          <w:rFonts w:hint="default" w:ascii="Times New Roman" w:hAnsi="Times New Roman" w:eastAsia="方正仿宋_GBK" w:cs="Times New Roman"/>
          <w:color w:val="auto"/>
          <w:sz w:val="21"/>
          <w:szCs w:val="21"/>
          <w:highlight w:val="none"/>
          <w:lang w:val="en-US" w:eastAsia="zh-CN"/>
        </w:rPr>
        <w:t>（四）矿区面积：0.0097平方公里；</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val="en-US" w:eastAsia="zh-CN"/>
        </w:rPr>
      </w:pPr>
      <w:r>
        <w:rPr>
          <w:rFonts w:hint="default" w:ascii="Times New Roman" w:hAnsi="Times New Roman" w:eastAsia="方正仿宋_GBK" w:cs="Times New Roman"/>
          <w:color w:val="auto"/>
          <w:sz w:val="21"/>
          <w:szCs w:val="21"/>
          <w:highlight w:val="none"/>
          <w:lang w:val="en-US" w:eastAsia="zh-CN"/>
        </w:rPr>
        <w:t>（五）开采标高：+73米至-39米；</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val="en-US" w:eastAsia="zh-CN"/>
        </w:rPr>
      </w:pPr>
      <w:r>
        <w:rPr>
          <w:rFonts w:hint="default" w:ascii="Times New Roman" w:hAnsi="Times New Roman" w:eastAsia="方正仿宋_GBK" w:cs="Times New Roman"/>
          <w:color w:val="auto"/>
          <w:sz w:val="21"/>
          <w:szCs w:val="21"/>
          <w:highlight w:val="none"/>
          <w:lang w:val="en-US" w:eastAsia="zh-CN"/>
        </w:rPr>
        <w:t>（六）开采矿种：地热；</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val="en-US" w:eastAsia="zh-CN"/>
        </w:rPr>
      </w:pPr>
      <w:r>
        <w:rPr>
          <w:rFonts w:hint="default" w:ascii="Times New Roman" w:hAnsi="Times New Roman" w:eastAsia="方正仿宋_GBK" w:cs="Times New Roman"/>
          <w:color w:val="auto"/>
          <w:sz w:val="21"/>
          <w:szCs w:val="21"/>
          <w:highlight w:val="none"/>
          <w:lang w:val="en-US" w:eastAsia="zh-CN"/>
        </w:rPr>
        <w:t>（七）资源储量：36.5万立方米/年；</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val="en-US" w:eastAsia="zh-CN"/>
        </w:rPr>
      </w:pPr>
      <w:r>
        <w:rPr>
          <w:rFonts w:hint="default" w:ascii="Times New Roman" w:hAnsi="Times New Roman" w:eastAsia="方正仿宋_GBK" w:cs="Times New Roman"/>
          <w:color w:val="auto"/>
          <w:sz w:val="21"/>
          <w:szCs w:val="21"/>
          <w:highlight w:val="none"/>
          <w:lang w:val="en-US" w:eastAsia="zh-CN"/>
        </w:rPr>
        <w:t>（八）拟建设生产规模：36.5万立方米/年；</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（九）出让年限：</w:t>
      </w:r>
      <w:r>
        <w:rPr>
          <w:rFonts w:hint="default" w:ascii="Times New Roman" w:hAnsi="Times New Roman" w:eastAsia="方正仿宋_GBK" w:cs="Times New Roman"/>
          <w:color w:val="auto"/>
          <w:sz w:val="21"/>
          <w:szCs w:val="21"/>
          <w:highlight w:val="none"/>
          <w:lang w:val="en-US" w:eastAsia="zh-CN"/>
        </w:rPr>
        <w:t>10年</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（十）出让收益起始价：</w:t>
      </w:r>
      <w:r>
        <w:rPr>
          <w:rFonts w:hint="default" w:ascii="Times New Roman" w:hAnsi="Times New Roman" w:eastAsia="方正仿宋_GBK" w:cs="Times New Roman"/>
          <w:color w:val="auto"/>
          <w:sz w:val="21"/>
          <w:szCs w:val="21"/>
          <w:highlight w:val="none"/>
          <w:lang w:val="en-US" w:eastAsia="zh-CN"/>
        </w:rPr>
        <w:t>0.291万元</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（十一）矿区范围坐标（2000坐标系）：</w:t>
      </w:r>
    </w:p>
    <w:tbl>
      <w:tblPr>
        <w:tblStyle w:val="9"/>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01"/>
        <w:gridCol w:w="1701"/>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04"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拐点</w:t>
            </w:r>
          </w:p>
        </w:tc>
        <w:tc>
          <w:tcPr>
            <w:tcW w:w="1701"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X坐标</w:t>
            </w:r>
          </w:p>
        </w:tc>
        <w:tc>
          <w:tcPr>
            <w:tcW w:w="1701"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Y坐标</w:t>
            </w:r>
          </w:p>
        </w:tc>
        <w:tc>
          <w:tcPr>
            <w:tcW w:w="776"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拐点</w:t>
            </w:r>
          </w:p>
        </w:tc>
        <w:tc>
          <w:tcPr>
            <w:tcW w:w="1596"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X坐标</w:t>
            </w:r>
          </w:p>
        </w:tc>
        <w:tc>
          <w:tcPr>
            <w:tcW w:w="1743" w:type="dxa"/>
            <w:noWrap w:val="0"/>
            <w:vAlign w:val="center"/>
          </w:tcPr>
          <w:p>
            <w:pPr>
              <w:keepNext w:val="0"/>
              <w:keepLines w:val="0"/>
              <w:pageBreakBefore w:val="0"/>
              <w:kinsoku/>
              <w:overflowPunct/>
              <w:topLinePunct w:val="0"/>
              <w:autoSpaceDE/>
              <w:autoSpaceDN/>
              <w:bidi w:val="0"/>
              <w:adjustRightInd w:val="0"/>
              <w:snapToGrid w:val="0"/>
              <w:spacing w:after="0" w:afterLines="0"/>
              <w:jc w:val="center"/>
              <w:textAlignment w:val="auto"/>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i w:val="0"/>
                <w:iCs w:val="0"/>
                <w:color w:val="auto"/>
                <w:kern w:val="0"/>
                <w:sz w:val="21"/>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0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1</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3259898.56</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36389518.12</w:t>
            </w:r>
          </w:p>
        </w:tc>
        <w:tc>
          <w:tcPr>
            <w:tcW w:w="77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4</w:t>
            </w:r>
          </w:p>
        </w:tc>
        <w:tc>
          <w:tcPr>
            <w:tcW w:w="159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3260012.74</w:t>
            </w:r>
          </w:p>
        </w:tc>
        <w:tc>
          <w:tcPr>
            <w:tcW w:w="174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36389554.87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0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2</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3260036.41</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rPr>
            </w:pPr>
            <w:r>
              <w:rPr>
                <w:rFonts w:hint="default" w:ascii="Times New Roman" w:hAnsi="Times New Roman" w:eastAsia="方正仿宋_GBK" w:cs="Times New Roman"/>
                <w:color w:val="auto"/>
                <w:sz w:val="21"/>
                <w:szCs w:val="21"/>
                <w:lang w:val="en-US" w:eastAsia="zh-CN"/>
              </w:rPr>
              <w:t>36389518.12</w:t>
            </w:r>
          </w:p>
        </w:tc>
        <w:tc>
          <w:tcPr>
            <w:tcW w:w="77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5</w:t>
            </w:r>
          </w:p>
        </w:tc>
        <w:tc>
          <w:tcPr>
            <w:tcW w:w="159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3260012.74</w:t>
            </w:r>
          </w:p>
        </w:tc>
        <w:tc>
          <w:tcPr>
            <w:tcW w:w="174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i w:val="0"/>
                <w:iCs w:val="0"/>
                <w:color w:val="auto"/>
                <w:kern w:val="0"/>
                <w:sz w:val="21"/>
                <w:szCs w:val="21"/>
                <w:lang w:val="en-US" w:eastAsia="zh-CN" w:bidi="ar-SA"/>
              </w:rPr>
            </w:pPr>
            <w:r>
              <w:rPr>
                <w:rFonts w:hint="default" w:ascii="Times New Roman" w:hAnsi="Times New Roman" w:eastAsia="方正仿宋_GBK" w:cs="Times New Roman"/>
                <w:color w:val="auto"/>
                <w:sz w:val="21"/>
                <w:szCs w:val="21"/>
                <w:lang w:val="en-US" w:eastAsia="zh-CN"/>
              </w:rPr>
              <w:t>36389595.02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0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3</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3260036.41</w:t>
            </w:r>
          </w:p>
        </w:tc>
        <w:tc>
          <w:tcPr>
            <w:tcW w:w="170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36389554.87</w:t>
            </w:r>
          </w:p>
        </w:tc>
        <w:tc>
          <w:tcPr>
            <w:tcW w:w="77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6</w:t>
            </w:r>
          </w:p>
        </w:tc>
        <w:tc>
          <w:tcPr>
            <w:tcW w:w="159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3259898.56</w:t>
            </w:r>
          </w:p>
        </w:tc>
        <w:tc>
          <w:tcPr>
            <w:tcW w:w="174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36389595.02</w:t>
            </w:r>
          </w:p>
        </w:tc>
      </w:tr>
    </w:tbl>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二、出让人、交易平台联系方式</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b/>
          <w:bCs/>
          <w:color w:val="auto"/>
          <w:sz w:val="21"/>
          <w:szCs w:val="21"/>
          <w:highlight w:val="none"/>
        </w:rPr>
      </w:pPr>
      <w:r>
        <w:rPr>
          <w:rFonts w:hint="default" w:ascii="Times New Roman" w:hAnsi="Times New Roman" w:eastAsia="方正楷体_GBK" w:cs="Times New Roman"/>
          <w:color w:val="auto"/>
          <w:kern w:val="0"/>
          <w:sz w:val="21"/>
          <w:szCs w:val="21"/>
          <w:highlight w:val="none"/>
        </w:rPr>
        <w:t>（一）出让人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本宗采矿权出让人为</w:t>
      </w:r>
      <w:r>
        <w:rPr>
          <w:rFonts w:hint="default" w:ascii="Times New Roman" w:hAnsi="Times New Roman" w:eastAsia="方正仿宋_GBK" w:cs="Times New Roman"/>
          <w:color w:val="auto"/>
          <w:kern w:val="0"/>
          <w:sz w:val="21"/>
          <w:szCs w:val="21"/>
          <w:highlight w:val="none"/>
          <w:lang w:val="en-US" w:eastAsia="zh-CN"/>
        </w:rPr>
        <w:t>重庆市巴南区</w:t>
      </w:r>
      <w:r>
        <w:rPr>
          <w:rFonts w:hint="default" w:ascii="Times New Roman" w:hAnsi="Times New Roman" w:eastAsia="方正仿宋_GBK" w:cs="Times New Roman"/>
          <w:color w:val="auto"/>
          <w:kern w:val="0"/>
          <w:sz w:val="21"/>
          <w:szCs w:val="21"/>
          <w:highlight w:val="none"/>
        </w:rPr>
        <w:t>规划和自然资源局。</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地址：重庆市</w:t>
      </w:r>
      <w:r>
        <w:rPr>
          <w:rFonts w:hint="default" w:ascii="Times New Roman" w:hAnsi="Times New Roman" w:eastAsia="方正仿宋_GBK" w:cs="Times New Roman"/>
          <w:color w:val="auto"/>
          <w:kern w:val="0"/>
          <w:sz w:val="21"/>
          <w:szCs w:val="21"/>
          <w:highlight w:val="none"/>
          <w:lang w:eastAsia="zh-CN"/>
        </w:rPr>
        <w:t>巴南区龙洲湾街道龙洲大道</w:t>
      </w:r>
      <w:r>
        <w:rPr>
          <w:rFonts w:hint="default" w:ascii="Times New Roman" w:hAnsi="Times New Roman" w:eastAsia="方正仿宋_GBK" w:cs="Times New Roman"/>
          <w:color w:val="auto"/>
          <w:kern w:val="0"/>
          <w:sz w:val="21"/>
          <w:szCs w:val="21"/>
          <w:highlight w:val="none"/>
          <w:lang w:val="en-US" w:eastAsia="zh-CN"/>
        </w:rPr>
        <w:t>108号</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联系人：</w:t>
      </w:r>
      <w:r>
        <w:rPr>
          <w:rFonts w:hint="default" w:ascii="Times New Roman" w:hAnsi="Times New Roman" w:eastAsia="方正仿宋_GBK" w:cs="Times New Roman"/>
          <w:color w:val="auto"/>
          <w:kern w:val="0"/>
          <w:sz w:val="21"/>
          <w:szCs w:val="21"/>
          <w:highlight w:val="none"/>
          <w:lang w:val="en-US" w:eastAsia="zh-CN"/>
        </w:rPr>
        <w:t>陈</w:t>
      </w:r>
      <w:r>
        <w:rPr>
          <w:rFonts w:hint="default" w:ascii="Times New Roman" w:hAnsi="Times New Roman" w:eastAsia="方正仿宋_GBK" w:cs="Times New Roman"/>
          <w:color w:val="auto"/>
          <w:kern w:val="0"/>
          <w:sz w:val="21"/>
          <w:szCs w:val="21"/>
          <w:highlight w:val="none"/>
        </w:rPr>
        <w:t>老师</w:t>
      </w:r>
      <w:r>
        <w:rPr>
          <w:rFonts w:hint="default" w:ascii="Times New Roman" w:hAnsi="Times New Roman" w:eastAsia="方正仿宋_GBK" w:cs="Times New Roman"/>
          <w:color w:val="auto"/>
          <w:kern w:val="0"/>
          <w:sz w:val="21"/>
          <w:szCs w:val="21"/>
          <w:highlight w:val="none"/>
          <w:lang w:eastAsia="zh-CN"/>
        </w:rPr>
        <w:t>，</w:t>
      </w:r>
      <w:r>
        <w:rPr>
          <w:rFonts w:hint="default" w:ascii="Times New Roman" w:hAnsi="Times New Roman" w:eastAsia="方正仿宋_GBK" w:cs="Times New Roman"/>
          <w:color w:val="auto"/>
          <w:kern w:val="0"/>
          <w:sz w:val="21"/>
          <w:szCs w:val="21"/>
          <w:highlight w:val="none"/>
        </w:rPr>
        <w:t>联系电话</w:t>
      </w:r>
      <w:r>
        <w:rPr>
          <w:rFonts w:hint="default" w:ascii="Times New Roman" w:hAnsi="Times New Roman" w:eastAsia="方正仿宋_GBK" w:cs="Times New Roman"/>
          <w:color w:val="auto"/>
          <w:kern w:val="0"/>
          <w:sz w:val="21"/>
          <w:szCs w:val="21"/>
          <w:highlight w:val="none"/>
          <w:lang w:eastAsia="zh-CN"/>
        </w:rPr>
        <w:t>：</w:t>
      </w:r>
      <w:r>
        <w:rPr>
          <w:rFonts w:hint="default" w:ascii="Times New Roman" w:hAnsi="Times New Roman" w:eastAsia="方正仿宋_GBK" w:cs="Times New Roman"/>
          <w:color w:val="auto"/>
          <w:kern w:val="0"/>
          <w:sz w:val="21"/>
          <w:szCs w:val="21"/>
          <w:highlight w:val="none"/>
          <w:lang w:val="en-US" w:eastAsia="zh-CN"/>
        </w:rPr>
        <w:t>023-66221704</w:t>
      </w:r>
      <w:r>
        <w:rPr>
          <w:rFonts w:hint="default" w:ascii="Times New Roman" w:hAnsi="Times New Roman" w:eastAsia="方正仿宋_GBK" w:cs="Times New Roman"/>
          <w:color w:val="auto"/>
          <w:kern w:val="0"/>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（二）交易平台</w:t>
      </w:r>
      <w:bookmarkStart w:id="1" w:name="_GoBack"/>
      <w:bookmarkEnd w:id="1"/>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b/>
          <w:bCs/>
          <w:color w:val="auto"/>
          <w:sz w:val="21"/>
          <w:szCs w:val="21"/>
          <w:highlight w:val="none"/>
        </w:rPr>
      </w:pPr>
      <w:r>
        <w:rPr>
          <w:rFonts w:hint="default" w:ascii="Times New Roman" w:hAnsi="Times New Roman" w:eastAsia="方正仿宋_GBK" w:cs="Times New Roman"/>
          <w:color w:val="auto"/>
          <w:kern w:val="0"/>
          <w:sz w:val="21"/>
          <w:szCs w:val="21"/>
          <w:highlight w:val="none"/>
        </w:rPr>
        <w:t>本宗采矿权交易平台为重庆市公共资源交易中心。</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地址：重庆市渝北区青枫北路6号渝兴广场B9、B10栋</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联系人：王老师，联系电话023-63628117。</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（三）实体CA 证书办理</w:t>
      </w:r>
    </w:p>
    <w:p>
      <w:pPr>
        <w:pStyle w:val="7"/>
        <w:keepNext w:val="0"/>
        <w:keepLines w:val="0"/>
        <w:pageBreakBefore w:val="0"/>
        <w:kinsoku/>
        <w:wordWrap w:val="0"/>
        <w:overflowPunct/>
        <w:topLinePunct w:val="0"/>
        <w:autoSpaceDE/>
        <w:autoSpaceDN/>
        <w:bidi w:val="0"/>
        <w:spacing w:before="0" w:beforeAutospacing="0" w:after="0" w:afterLines="0" w:afterAutospacing="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申请人可在重庆市公共资源交易网CA互认与办理专栏（网址：https://www.cqggzy.com/035/CAenter.html）按照办理须知办理实体CA证书。</w:t>
      </w:r>
    </w:p>
    <w:p>
      <w:pPr>
        <w:pStyle w:val="4"/>
        <w:keepNext w:val="0"/>
        <w:keepLines w:val="0"/>
        <w:pageBreakBefore w:val="0"/>
        <w:kinsoku/>
        <w:overflowPunct/>
        <w:topLinePunct w:val="0"/>
        <w:autoSpaceDE/>
        <w:autoSpaceDN/>
        <w:bidi w:val="0"/>
        <w:spacing w:after="0" w:afterLines="0" w:line="360" w:lineRule="exact"/>
        <w:ind w:left="0" w:firstLine="420" w:firstLineChars="200"/>
        <w:textAlignment w:val="auto"/>
        <w:rPr>
          <w:rFonts w:hint="default" w:ascii="Times New Roman" w:hAnsi="Times New Roman" w:eastAsia="方正仿宋_GBK" w:cs="Times New Roman"/>
          <w:color w:val="auto"/>
          <w:sz w:val="21"/>
          <w:szCs w:val="21"/>
          <w:highlight w:val="none"/>
          <w:lang w:eastAsia="zh-CN"/>
        </w:rPr>
      </w:pPr>
      <w:r>
        <w:rPr>
          <w:rFonts w:hint="default" w:ascii="Times New Roman" w:hAnsi="Times New Roman" w:eastAsia="方正仿宋_GBK" w:cs="Times New Roman"/>
          <w:color w:val="auto"/>
          <w:sz w:val="21"/>
          <w:szCs w:val="21"/>
          <w:highlight w:val="none"/>
          <w:lang w:eastAsia="zh-CN"/>
        </w:rPr>
        <w:t>申请人应妥善保管CA数字证书及其密码，如CA数字证书遗失或者损毁、遗忘或者泄露密码，应及时办理挂失，并重新申领。申请人登记信息有变化的，应及时进行信息变更。</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三、竞买申请人准入条件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（一）竞买申请人须为营利法人；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（二）竞买申请人属于以下情形之一的不得参与竞买：</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1.在全国矿业权人勘查开采信息管理系统</w:t>
      </w:r>
      <w:r>
        <w:rPr>
          <w:rFonts w:hint="eastAsia" w:ascii="方正仿宋_GBK" w:hAnsi="方正仿宋_GBK" w:eastAsia="方正仿宋_GBK" w:cs="方正仿宋_GBK"/>
          <w:color w:val="auto"/>
          <w:sz w:val="21"/>
          <w:szCs w:val="21"/>
          <w:highlight w:val="none"/>
        </w:rPr>
        <w:t>的“矿业权人异常名录”、“矿业权严重失信主体”内的</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2.通</w:t>
      </w:r>
      <w:r>
        <w:rPr>
          <w:rFonts w:hint="eastAsia" w:ascii="方正仿宋_GBK" w:hAnsi="方正仿宋_GBK" w:eastAsia="方正仿宋_GBK" w:cs="方正仿宋_GBK"/>
          <w:color w:val="auto"/>
          <w:sz w:val="21"/>
          <w:szCs w:val="21"/>
          <w:highlight w:val="none"/>
        </w:rPr>
        <w:t>过“信用中国”查询，在自然资源部联合惩戒备忘录或重庆市信用惩戒严重失信主体“黑名单”内限制禁止参与矿</w:t>
      </w:r>
      <w:r>
        <w:rPr>
          <w:rFonts w:hint="default" w:ascii="Times New Roman" w:hAnsi="Times New Roman" w:eastAsia="方正仿宋_GBK" w:cs="Times New Roman"/>
          <w:color w:val="auto"/>
          <w:sz w:val="21"/>
          <w:szCs w:val="21"/>
          <w:highlight w:val="none"/>
        </w:rPr>
        <w:t>业权出让的；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3.被吊销采矿许可证且自吊销之日起未满2年的。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四、网上报名申请</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本次公开出让的采矿权采取</w:t>
      </w:r>
      <w:r>
        <w:rPr>
          <w:rFonts w:hint="default" w:ascii="Times New Roman" w:hAnsi="Times New Roman" w:eastAsia="方正仿宋_GBK" w:cs="Times New Roman"/>
          <w:color w:val="auto"/>
          <w:sz w:val="21"/>
          <w:szCs w:val="21"/>
          <w:highlight w:val="none"/>
          <w:u w:val="single"/>
        </w:rPr>
        <w:t>网上报名</w:t>
      </w:r>
      <w:r>
        <w:rPr>
          <w:rFonts w:hint="default" w:ascii="Times New Roman" w:hAnsi="Times New Roman" w:eastAsia="方正仿宋_GBK" w:cs="Times New Roman"/>
          <w:color w:val="auto"/>
          <w:sz w:val="21"/>
          <w:szCs w:val="21"/>
          <w:highlight w:val="none"/>
        </w:rPr>
        <w:t>方式：</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（一）报名时限：</w:t>
      </w:r>
      <w:r>
        <w:rPr>
          <w:rFonts w:hint="default" w:ascii="Times New Roman" w:hAnsi="Times New Roman" w:eastAsia="方正仿宋_GBK" w:cs="Times New Roman"/>
          <w:color w:val="auto"/>
          <w:sz w:val="21"/>
          <w:szCs w:val="21"/>
          <w:highlight w:val="none"/>
        </w:rPr>
        <w:t>202</w:t>
      </w:r>
      <w:r>
        <w:rPr>
          <w:rFonts w:hint="default" w:ascii="Times New Roman" w:hAnsi="Times New Roman" w:cs="Times New Roman"/>
          <w:color w:val="auto"/>
          <w:sz w:val="21"/>
          <w:szCs w:val="21"/>
          <w:highlight w:val="none"/>
          <w:lang w:val="en-US" w:eastAsia="zh-CN"/>
        </w:rPr>
        <w:t>5</w:t>
      </w:r>
      <w:r>
        <w:rPr>
          <w:rFonts w:hint="default" w:ascii="Times New Roman" w:hAnsi="Times New Roman" w:eastAsia="方正仿宋_GBK" w:cs="Times New Roman"/>
          <w:color w:val="auto"/>
          <w:sz w:val="21"/>
          <w:szCs w:val="21"/>
          <w:highlight w:val="none"/>
        </w:rPr>
        <w:t>年</w:t>
      </w:r>
      <w:r>
        <w:rPr>
          <w:rFonts w:hint="eastAsia" w:ascii="Times New Roman" w:hAnsi="Times New Roman" w:cs="Times New Roman"/>
          <w:color w:val="auto"/>
          <w:sz w:val="21"/>
          <w:szCs w:val="21"/>
          <w:highlight w:val="none"/>
          <w:u w:val="single"/>
          <w:lang w:val="en-US" w:eastAsia="zh-CN"/>
        </w:rPr>
        <w:t>5</w:t>
      </w:r>
      <w:r>
        <w:rPr>
          <w:rFonts w:hint="default" w:ascii="Times New Roman" w:hAnsi="Times New Roman" w:eastAsia="方正仿宋_GBK" w:cs="Times New Roman"/>
          <w:color w:val="auto"/>
          <w:sz w:val="21"/>
          <w:szCs w:val="21"/>
          <w:highlight w:val="none"/>
        </w:rPr>
        <w:t>月</w:t>
      </w:r>
      <w:r>
        <w:rPr>
          <w:rFonts w:hint="eastAsia" w:cs="Times New Roman"/>
          <w:color w:val="auto"/>
          <w:sz w:val="21"/>
          <w:szCs w:val="21"/>
          <w:highlight w:val="none"/>
          <w:u w:val="single"/>
          <w:lang w:val="en-US" w:eastAsia="zh-CN"/>
        </w:rPr>
        <w:t>30</w:t>
      </w:r>
      <w:r>
        <w:rPr>
          <w:rFonts w:hint="default" w:ascii="Times New Roman" w:hAnsi="Times New Roman" w:eastAsia="方正仿宋_GBK" w:cs="Times New Roman"/>
          <w:color w:val="auto"/>
          <w:sz w:val="21"/>
          <w:szCs w:val="21"/>
          <w:highlight w:val="none"/>
        </w:rPr>
        <w:t>日</w:t>
      </w:r>
      <w:r>
        <w:rPr>
          <w:rFonts w:hint="eastAsia" w:cs="Times New Roman"/>
          <w:color w:val="auto"/>
          <w:sz w:val="21"/>
          <w:szCs w:val="21"/>
          <w:highlight w:val="none"/>
          <w:u w:val="single"/>
          <w:lang w:val="en-US" w:eastAsia="zh-CN"/>
        </w:rPr>
        <w:t>12</w:t>
      </w:r>
      <w:r>
        <w:rPr>
          <w:rFonts w:hint="default" w:ascii="Times New Roman" w:hAnsi="Times New Roman" w:eastAsia="方正仿宋_GBK" w:cs="Times New Roman"/>
          <w:color w:val="auto"/>
          <w:sz w:val="21"/>
          <w:szCs w:val="21"/>
          <w:highlight w:val="none"/>
        </w:rPr>
        <w:t>时</w:t>
      </w:r>
      <w:r>
        <w:rPr>
          <w:rFonts w:hint="eastAsia" w:ascii="Times New Roman" w:hAnsi="Times New Roman"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rPr>
        <w:t>202</w:t>
      </w:r>
      <w:r>
        <w:rPr>
          <w:rFonts w:hint="default" w:ascii="Times New Roman" w:hAnsi="Times New Roman" w:cs="Times New Roman"/>
          <w:color w:val="auto"/>
          <w:sz w:val="21"/>
          <w:szCs w:val="21"/>
          <w:highlight w:val="none"/>
          <w:lang w:val="en-US" w:eastAsia="zh-CN"/>
        </w:rPr>
        <w:t>5</w:t>
      </w:r>
      <w:r>
        <w:rPr>
          <w:rFonts w:hint="default" w:ascii="Times New Roman" w:hAnsi="Times New Roman" w:eastAsia="方正仿宋_GBK" w:cs="Times New Roman"/>
          <w:color w:val="auto"/>
          <w:sz w:val="21"/>
          <w:szCs w:val="21"/>
          <w:highlight w:val="none"/>
        </w:rPr>
        <w:t>年</w:t>
      </w:r>
      <w:r>
        <w:rPr>
          <w:rFonts w:hint="eastAsia" w:ascii="Times New Roman" w:hAnsi="Times New Roman" w:cs="Times New Roman"/>
          <w:color w:val="auto"/>
          <w:sz w:val="21"/>
          <w:szCs w:val="21"/>
          <w:highlight w:val="none"/>
          <w:u w:val="single"/>
          <w:lang w:val="en-US" w:eastAsia="zh-CN"/>
        </w:rPr>
        <w:t>6</w:t>
      </w:r>
      <w:r>
        <w:rPr>
          <w:rFonts w:hint="default" w:ascii="Times New Roman" w:hAnsi="Times New Roman" w:eastAsia="方正仿宋_GBK" w:cs="Times New Roman"/>
          <w:color w:val="auto"/>
          <w:sz w:val="21"/>
          <w:szCs w:val="21"/>
          <w:highlight w:val="none"/>
        </w:rPr>
        <w:t>月</w:t>
      </w:r>
      <w:r>
        <w:rPr>
          <w:rFonts w:hint="eastAsia" w:cs="Times New Roman"/>
          <w:color w:val="auto"/>
          <w:sz w:val="21"/>
          <w:szCs w:val="21"/>
          <w:highlight w:val="none"/>
          <w:u w:val="single"/>
          <w:lang w:val="en-US" w:eastAsia="zh-CN"/>
        </w:rPr>
        <w:t>30</w:t>
      </w:r>
      <w:r>
        <w:rPr>
          <w:rFonts w:hint="default" w:ascii="Times New Roman" w:hAnsi="Times New Roman" w:eastAsia="方正仿宋_GBK" w:cs="Times New Roman"/>
          <w:color w:val="auto"/>
          <w:sz w:val="21"/>
          <w:szCs w:val="21"/>
          <w:highlight w:val="none"/>
        </w:rPr>
        <w:t>日</w:t>
      </w:r>
      <w:r>
        <w:rPr>
          <w:rFonts w:hint="eastAsia" w:ascii="Times New Roman" w:hAnsi="Times New Roman" w:cs="Times New Roman"/>
          <w:color w:val="auto"/>
          <w:sz w:val="21"/>
          <w:szCs w:val="21"/>
          <w:highlight w:val="none"/>
          <w:u w:val="single"/>
          <w:lang w:val="en-US" w:eastAsia="zh-CN"/>
        </w:rPr>
        <w:t>1</w:t>
      </w:r>
      <w:r>
        <w:rPr>
          <w:rFonts w:hint="eastAsia" w:cs="Times New Roman"/>
          <w:color w:val="auto"/>
          <w:sz w:val="21"/>
          <w:szCs w:val="21"/>
          <w:highlight w:val="none"/>
          <w:u w:val="single"/>
          <w:lang w:val="en-US" w:eastAsia="zh-CN"/>
        </w:rPr>
        <w:t>2</w:t>
      </w:r>
      <w:r>
        <w:rPr>
          <w:rFonts w:hint="default" w:ascii="Times New Roman" w:hAnsi="Times New Roman" w:eastAsia="方正仿宋_GBK" w:cs="Times New Roman"/>
          <w:color w:val="auto"/>
          <w:sz w:val="21"/>
          <w:szCs w:val="21"/>
          <w:highlight w:val="none"/>
        </w:rPr>
        <w:t>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（二）资料获取：</w:t>
      </w:r>
      <w:r>
        <w:rPr>
          <w:rFonts w:hint="default" w:ascii="Times New Roman" w:hAnsi="Times New Roman" w:eastAsia="方正仿宋_GBK" w:cs="Times New Roman"/>
          <w:color w:val="auto"/>
          <w:sz w:val="21"/>
          <w:szCs w:val="21"/>
          <w:highlight w:val="none"/>
        </w:rPr>
        <w:t>申请人应在报名期限内登录</w:t>
      </w:r>
      <w:r>
        <w:rPr>
          <w:rFonts w:hint="default" w:ascii="Times New Roman" w:hAnsi="Times New Roman" w:eastAsia="方正仿宋_GBK" w:cs="Times New Roman"/>
          <w:color w:val="auto"/>
          <w:kern w:val="0"/>
          <w:sz w:val="21"/>
          <w:szCs w:val="21"/>
          <w:highlight w:val="none"/>
        </w:rPr>
        <w:t>重庆市公共资源交易中心</w:t>
      </w:r>
      <w:r>
        <w:rPr>
          <w:rFonts w:hint="default" w:ascii="Times New Roman" w:hAnsi="Times New Roman" w:eastAsia="方正仿宋_GBK" w:cs="Times New Roman"/>
          <w:color w:val="auto"/>
          <w:sz w:val="21"/>
          <w:szCs w:val="21"/>
          <w:highlight w:val="none"/>
        </w:rPr>
        <w:t>（网址：https://www.cqggzy.com），进入重庆市国有建设用地使用权和矿业权网上交易系统（网址：</w:t>
      </w:r>
      <w:r>
        <w:rPr>
          <w:rFonts w:hint="default" w:ascii="Times New Roman" w:hAnsi="Times New Roman" w:cs="Times New Roman"/>
          <w:color w:val="auto"/>
          <w:sz w:val="21"/>
          <w:szCs w:val="21"/>
          <w:highlight w:val="none"/>
        </w:rPr>
        <w:fldChar w:fldCharType="begin"/>
      </w:r>
      <w:r>
        <w:rPr>
          <w:rFonts w:hint="default" w:ascii="Times New Roman" w:hAnsi="Times New Roman" w:cs="Times New Roman"/>
          <w:color w:val="auto"/>
          <w:sz w:val="21"/>
          <w:szCs w:val="21"/>
          <w:highlight w:val="none"/>
        </w:rPr>
        <w:instrText xml:space="preserve"> HYPERLINK "https://td.cqggzy.com/），查阅、下载出让资料。" </w:instrText>
      </w:r>
      <w:r>
        <w:rPr>
          <w:rFonts w:hint="default" w:ascii="Times New Roman" w:hAnsi="Times New Roman" w:cs="Times New Roman"/>
          <w:color w:val="auto"/>
          <w:sz w:val="21"/>
          <w:szCs w:val="21"/>
          <w:highlight w:val="none"/>
        </w:rPr>
        <w:fldChar w:fldCharType="separate"/>
      </w:r>
      <w:r>
        <w:rPr>
          <w:rFonts w:hint="default" w:ascii="Times New Roman" w:hAnsi="Times New Roman" w:eastAsia="方正仿宋_GBK" w:cs="Times New Roman"/>
          <w:color w:val="auto"/>
          <w:kern w:val="0"/>
          <w:sz w:val="21"/>
          <w:szCs w:val="21"/>
          <w:highlight w:val="none"/>
        </w:rPr>
        <w:t>https://td.cqggzy.com/），查阅、下载出让资料。</w:t>
      </w:r>
      <w:r>
        <w:rPr>
          <w:rFonts w:hint="default" w:ascii="Times New Roman" w:hAnsi="Times New Roman" w:eastAsia="方正仿宋_GBK" w:cs="Times New Roman"/>
          <w:color w:val="auto"/>
          <w:kern w:val="0"/>
          <w:sz w:val="21"/>
          <w:szCs w:val="21"/>
          <w:highlight w:val="none"/>
        </w:rPr>
        <w:fldChar w:fldCharType="end"/>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（三）申请资料</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1.《竞买申请书》（原件1份）（附件</w:t>
      </w:r>
      <w:r>
        <w:rPr>
          <w:rFonts w:hint="default" w:ascii="Times New Roman" w:hAnsi="Times New Roman" w:cs="Times New Roman"/>
          <w:color w:val="auto"/>
          <w:sz w:val="21"/>
          <w:szCs w:val="21"/>
          <w:highlight w:val="none"/>
          <w:lang w:val="en-US" w:eastAsia="zh-CN"/>
        </w:rPr>
        <w:t>1</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2.工商营业执照副本（复印件1份）；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3.法人身份证明（复印件1份）；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4.法人不能亲自参加的应提供《授权委托书》（原件1份）（附件</w:t>
      </w:r>
      <w:r>
        <w:rPr>
          <w:rFonts w:hint="default" w:ascii="Times New Roman" w:hAnsi="Times New Roman" w:cs="Times New Roman"/>
          <w:color w:val="auto"/>
          <w:sz w:val="21"/>
          <w:szCs w:val="21"/>
          <w:highlight w:val="none"/>
          <w:lang w:val="en-US" w:eastAsia="zh-CN"/>
        </w:rPr>
        <w:t>2</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5.受托人身份证明（复印件1份）；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i/>
          <w:color w:val="auto"/>
          <w:sz w:val="21"/>
          <w:szCs w:val="21"/>
          <w:highlight w:val="none"/>
          <w:u w:val="single"/>
        </w:rPr>
      </w:pPr>
      <w:r>
        <w:rPr>
          <w:rFonts w:hint="default" w:ascii="Times New Roman" w:hAnsi="Times New Roman" w:eastAsia="方正仿宋_GBK" w:cs="Times New Roman"/>
          <w:color w:val="auto"/>
          <w:sz w:val="21"/>
          <w:szCs w:val="21"/>
          <w:highlight w:val="none"/>
        </w:rPr>
        <w:t>6.竞买申请人签署意见的《出让文件》（原件1份）。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（四）网上报名</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2.竞买申请人应当取得有效数字证书，方能参与网上交易竞买活动。详情请登录网上交易系统网站查看数字证书办理指南或咨询</w:t>
      </w:r>
      <w:r>
        <w:rPr>
          <w:rFonts w:hint="default" w:ascii="Times New Roman" w:hAnsi="Times New Roman" w:eastAsia="方正仿宋_GBK" w:cs="Times New Roman"/>
          <w:color w:val="auto"/>
          <w:kern w:val="0"/>
          <w:sz w:val="21"/>
          <w:szCs w:val="21"/>
          <w:highlight w:val="none"/>
        </w:rPr>
        <w:t>CA证书办理机构</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楷体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（五）保证金的交纳及相关规定</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1.竞买保证金由申请人自行支付，不得代交。</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申请人每次提交竞买申请及交纳竞买保证金只对应一宗采矿权，如申请人同时竞买多宗采矿权的，应分别提交申请并按时足额交纳竞买保证金。</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3.申请人应于报名期限内交纳竞买保证金人民币</w:t>
      </w:r>
      <w:r>
        <w:rPr>
          <w:rFonts w:hint="default" w:ascii="Times New Roman" w:hAnsi="Times New Roman" w:cs="Times New Roman"/>
          <w:color w:val="auto"/>
          <w:sz w:val="21"/>
          <w:szCs w:val="21"/>
          <w:highlight w:val="none"/>
          <w:u w:val="single"/>
          <w:lang w:val="en-US" w:eastAsia="zh-CN"/>
        </w:rPr>
        <w:t>0.1万</w:t>
      </w:r>
      <w:r>
        <w:rPr>
          <w:rFonts w:hint="default" w:ascii="Times New Roman" w:hAnsi="Times New Roman" w:eastAsia="方正仿宋_GBK" w:cs="Times New Roman"/>
          <w:color w:val="auto"/>
          <w:sz w:val="21"/>
          <w:szCs w:val="21"/>
          <w:highlight w:val="none"/>
          <w:u w:val="single"/>
          <w:lang w:val="en-US" w:eastAsia="zh-CN"/>
        </w:rPr>
        <w:t>元</w:t>
      </w:r>
      <w:r>
        <w:rPr>
          <w:rFonts w:hint="default" w:ascii="Times New Roman" w:hAnsi="Times New Roman" w:eastAsia="方正仿宋_GBK" w:cs="Times New Roman"/>
          <w:color w:val="auto"/>
          <w:sz w:val="21"/>
          <w:szCs w:val="21"/>
          <w:highlight w:val="none"/>
        </w:rPr>
        <w:t>（大写</w:t>
      </w:r>
      <w:r>
        <w:rPr>
          <w:rFonts w:hint="default" w:ascii="Times New Roman" w:hAnsi="Times New Roman" w:eastAsia="方正仿宋_GBK" w:cs="Times New Roman"/>
          <w:color w:val="auto"/>
          <w:sz w:val="21"/>
          <w:szCs w:val="21"/>
          <w:highlight w:val="none"/>
          <w:u w:val="single"/>
          <w:lang w:val="en-US" w:eastAsia="zh-CN"/>
        </w:rPr>
        <w:t>壹仟元整</w:t>
      </w:r>
      <w:r>
        <w:rPr>
          <w:rFonts w:hint="default" w:ascii="Times New Roman" w:hAnsi="Times New Roman" w:eastAsia="方正仿宋_GBK" w:cs="Times New Roman"/>
          <w:color w:val="auto"/>
          <w:sz w:val="21"/>
          <w:szCs w:val="21"/>
          <w:highlight w:val="none"/>
        </w:rPr>
        <w:t>），竞买保证金交纳时间以银行确认的到账时间为准。竞买保证金到账截止时间为：</w:t>
      </w:r>
      <w:r>
        <w:rPr>
          <w:rFonts w:hint="default" w:ascii="Times New Roman" w:hAnsi="Times New Roman" w:eastAsia="方正仿宋_GBK" w:cs="Times New Roman"/>
          <w:iCs/>
          <w:color w:val="auto"/>
          <w:sz w:val="21"/>
          <w:szCs w:val="21"/>
          <w:highlight w:val="none"/>
          <w:u w:val="single"/>
        </w:rPr>
        <w:t>202</w:t>
      </w:r>
      <w:r>
        <w:rPr>
          <w:rFonts w:hint="default" w:ascii="Times New Roman" w:hAnsi="Times New Roman" w:cs="Times New Roman"/>
          <w:iCs/>
          <w:color w:val="auto"/>
          <w:sz w:val="21"/>
          <w:szCs w:val="21"/>
          <w:highlight w:val="none"/>
          <w:u w:val="single"/>
          <w:lang w:val="en-US" w:eastAsia="zh-CN"/>
        </w:rPr>
        <w:t>5</w:t>
      </w:r>
      <w:r>
        <w:rPr>
          <w:rFonts w:hint="default" w:ascii="Times New Roman" w:hAnsi="Times New Roman" w:eastAsia="方正仿宋_GBK" w:cs="Times New Roman"/>
          <w:iCs/>
          <w:color w:val="auto"/>
          <w:sz w:val="21"/>
          <w:szCs w:val="21"/>
          <w:highlight w:val="none"/>
          <w:u w:val="single"/>
        </w:rPr>
        <w:t>年</w:t>
      </w:r>
      <w:r>
        <w:rPr>
          <w:rFonts w:hint="eastAsia" w:ascii="Times New Roman" w:hAnsi="Times New Roman" w:cs="Times New Roman"/>
          <w:iCs/>
          <w:color w:val="auto"/>
          <w:sz w:val="21"/>
          <w:szCs w:val="21"/>
          <w:highlight w:val="none"/>
          <w:u w:val="single"/>
          <w:lang w:val="en-US" w:eastAsia="zh-CN"/>
        </w:rPr>
        <w:t>6</w:t>
      </w:r>
      <w:r>
        <w:rPr>
          <w:rFonts w:hint="default" w:ascii="Times New Roman" w:hAnsi="Times New Roman" w:eastAsia="方正仿宋_GBK" w:cs="Times New Roman"/>
          <w:iCs/>
          <w:color w:val="auto"/>
          <w:sz w:val="21"/>
          <w:szCs w:val="21"/>
          <w:highlight w:val="none"/>
          <w:u w:val="single"/>
        </w:rPr>
        <w:t>月</w:t>
      </w:r>
      <w:r>
        <w:rPr>
          <w:rFonts w:hint="eastAsia" w:cs="Times New Roman"/>
          <w:iCs/>
          <w:color w:val="auto"/>
          <w:sz w:val="21"/>
          <w:szCs w:val="21"/>
          <w:highlight w:val="none"/>
          <w:u w:val="single"/>
          <w:lang w:val="en-US" w:eastAsia="zh-CN"/>
        </w:rPr>
        <w:t>30</w:t>
      </w:r>
      <w:r>
        <w:rPr>
          <w:rFonts w:hint="default" w:ascii="Times New Roman" w:hAnsi="Times New Roman" w:eastAsia="方正仿宋_GBK" w:cs="Times New Roman"/>
          <w:iCs/>
          <w:color w:val="auto"/>
          <w:sz w:val="21"/>
          <w:szCs w:val="21"/>
          <w:highlight w:val="none"/>
          <w:u w:val="single"/>
        </w:rPr>
        <w:t>日</w:t>
      </w:r>
      <w:r>
        <w:rPr>
          <w:rFonts w:hint="eastAsia" w:cs="Times New Roman"/>
          <w:iCs/>
          <w:color w:val="auto"/>
          <w:sz w:val="21"/>
          <w:szCs w:val="21"/>
          <w:highlight w:val="none"/>
          <w:u w:val="single"/>
          <w:lang w:val="en-US" w:eastAsia="zh-CN"/>
        </w:rPr>
        <w:t>12</w:t>
      </w:r>
      <w:r>
        <w:rPr>
          <w:rFonts w:hint="default" w:ascii="Times New Roman" w:hAnsi="Times New Roman" w:eastAsia="方正仿宋_GBK" w:cs="Times New Roman"/>
          <w:iCs/>
          <w:color w:val="auto"/>
          <w:sz w:val="21"/>
          <w:szCs w:val="21"/>
          <w:highlight w:val="none"/>
          <w:u w:val="single"/>
          <w:lang w:val="en-US" w:eastAsia="zh-CN"/>
        </w:rPr>
        <w:t>时</w:t>
      </w:r>
      <w:r>
        <w:rPr>
          <w:rFonts w:hint="default" w:ascii="Times New Roman" w:hAnsi="Times New Roman" w:eastAsia="方正仿宋_GBK" w:cs="Times New Roman"/>
          <w:iCs/>
          <w:color w:val="auto"/>
          <w:sz w:val="21"/>
          <w:szCs w:val="21"/>
          <w:highlight w:val="none"/>
          <w:u w:val="single"/>
        </w:rPr>
        <w:t>00</w:t>
      </w:r>
      <w:r>
        <w:rPr>
          <w:rFonts w:hint="default" w:ascii="Times New Roman" w:hAnsi="Times New Roman" w:eastAsia="方正仿宋_GBK" w:cs="Times New Roman"/>
          <w:iCs/>
          <w:color w:val="auto"/>
          <w:sz w:val="21"/>
          <w:szCs w:val="21"/>
          <w:highlight w:val="none"/>
          <w:u w:val="single"/>
          <w:lang w:val="en-US" w:eastAsia="zh-CN"/>
        </w:rPr>
        <w:t>分</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为避免因竞买保证金到账时间延误，影响申请人顺利获取交易竞买资格，建议申请人在报名期限截止时间的1日前交纳竞买保证金。</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4.保证金账户只接受银行转账或电汇方式，不接受现金或现金汇款。</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5.申请人在规定时间内足额交纳了竞买保证金至指定账户的（以保证金到达指定账户时间为准），重庆市国有建设用地使用权和矿业权网上交易系统将自动颁发《保证金到账确认书》。</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如成功竞得，已缴纳的保证金可抵作矿业权出让收益，在出让合同签订后由竞得人向矿产资源所在地的税务部门申报，竞买保证金账户管理单位在规定期限内代竞得人向税务部门缴款；如未竞得，在成交日之后1个工作日内退还保证金及银行同期活期存款利息。</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（六）网上报名资格审核相关程序：</w:t>
      </w:r>
      <w:r>
        <w:rPr>
          <w:rFonts w:hint="default" w:ascii="Times New Roman" w:hAnsi="Times New Roman" w:eastAsia="方正仿宋_GBK" w:cs="Times New Roman"/>
          <w:color w:val="auto"/>
          <w:sz w:val="21"/>
          <w:szCs w:val="21"/>
          <w:highlight w:val="none"/>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五、确定竞得人的标准和方法</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楷体_GBK" w:cs="Times New Roman"/>
          <w:color w:val="auto"/>
          <w:kern w:val="0"/>
          <w:sz w:val="21"/>
          <w:szCs w:val="21"/>
          <w:highlight w:val="none"/>
        </w:rPr>
        <w:t>（一）网上拍卖时间：</w:t>
      </w:r>
      <w:r>
        <w:rPr>
          <w:rFonts w:hint="default" w:ascii="Times New Roman" w:hAnsi="Times New Roman" w:eastAsia="方正仿宋_GBK" w:cs="Times New Roman"/>
          <w:color w:val="auto"/>
          <w:kern w:val="0"/>
          <w:sz w:val="21"/>
          <w:szCs w:val="21"/>
          <w:highlight w:val="none"/>
        </w:rPr>
        <w:t>202</w:t>
      </w:r>
      <w:r>
        <w:rPr>
          <w:rFonts w:hint="default" w:ascii="Times New Roman" w:hAnsi="Times New Roman" w:cs="Times New Roman"/>
          <w:color w:val="auto"/>
          <w:kern w:val="0"/>
          <w:sz w:val="21"/>
          <w:szCs w:val="21"/>
          <w:highlight w:val="none"/>
          <w:lang w:val="en-US" w:eastAsia="zh-CN"/>
        </w:rPr>
        <w:t>5</w:t>
      </w:r>
      <w:r>
        <w:rPr>
          <w:rFonts w:hint="default" w:ascii="Times New Roman" w:hAnsi="Times New Roman" w:eastAsia="方正仿宋_GBK" w:cs="Times New Roman"/>
          <w:color w:val="auto"/>
          <w:kern w:val="0"/>
          <w:sz w:val="21"/>
          <w:szCs w:val="21"/>
          <w:highlight w:val="none"/>
        </w:rPr>
        <w:t>年</w:t>
      </w:r>
      <w:r>
        <w:rPr>
          <w:rFonts w:hint="eastAsia" w:ascii="Times New Roman" w:hAnsi="Times New Roman" w:cs="Times New Roman"/>
          <w:color w:val="auto"/>
          <w:sz w:val="21"/>
          <w:szCs w:val="21"/>
          <w:highlight w:val="none"/>
          <w:u w:val="single"/>
          <w:lang w:val="en-US" w:eastAsia="zh-CN"/>
        </w:rPr>
        <w:t>6</w:t>
      </w:r>
      <w:r>
        <w:rPr>
          <w:rFonts w:hint="default" w:ascii="Times New Roman" w:hAnsi="Times New Roman" w:eastAsia="方正仿宋_GBK" w:cs="Times New Roman"/>
          <w:color w:val="auto"/>
          <w:kern w:val="0"/>
          <w:sz w:val="21"/>
          <w:szCs w:val="21"/>
          <w:highlight w:val="none"/>
        </w:rPr>
        <w:t>月</w:t>
      </w:r>
      <w:r>
        <w:rPr>
          <w:rFonts w:hint="eastAsia" w:cs="Times New Roman"/>
          <w:color w:val="auto"/>
          <w:sz w:val="21"/>
          <w:szCs w:val="21"/>
          <w:highlight w:val="none"/>
          <w:u w:val="single"/>
          <w:lang w:val="en-US" w:eastAsia="zh-CN"/>
        </w:rPr>
        <w:t>30</w:t>
      </w:r>
      <w:r>
        <w:rPr>
          <w:rFonts w:hint="default" w:ascii="Times New Roman" w:hAnsi="Times New Roman" w:eastAsia="方正仿宋_GBK" w:cs="Times New Roman"/>
          <w:color w:val="auto"/>
          <w:kern w:val="0"/>
          <w:sz w:val="21"/>
          <w:szCs w:val="21"/>
          <w:highlight w:val="none"/>
        </w:rPr>
        <w:t>日</w:t>
      </w:r>
      <w:r>
        <w:rPr>
          <w:rFonts w:hint="eastAsia" w:cs="Times New Roman"/>
          <w:color w:val="auto"/>
          <w:sz w:val="21"/>
          <w:szCs w:val="21"/>
          <w:highlight w:val="none"/>
          <w:u w:val="single"/>
          <w:lang w:val="en-US" w:eastAsia="zh-CN"/>
        </w:rPr>
        <w:t>15</w:t>
      </w:r>
      <w:r>
        <w:rPr>
          <w:rFonts w:hint="default" w:ascii="Times New Roman" w:hAnsi="Times New Roman" w:eastAsia="方正仿宋_GBK" w:cs="Times New Roman"/>
          <w:color w:val="auto"/>
          <w:kern w:val="0"/>
          <w:sz w:val="21"/>
          <w:szCs w:val="21"/>
          <w:highlight w:val="none"/>
        </w:rPr>
        <w:t>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（二）网上拍卖交易：</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sz w:val="21"/>
          <w:szCs w:val="21"/>
          <w:highlight w:val="none"/>
        </w:rPr>
        <w:t>1.本次网上拍卖出让</w:t>
      </w:r>
      <w:r>
        <w:rPr>
          <w:rFonts w:hint="default" w:ascii="Times New Roman" w:hAnsi="Times New Roman" w:eastAsia="方正仿宋_GBK" w:cs="Times New Roman"/>
          <w:color w:val="auto"/>
          <w:sz w:val="21"/>
          <w:szCs w:val="21"/>
          <w:highlight w:val="none"/>
          <w:u w:val="single"/>
        </w:rPr>
        <w:t>设置有底价</w:t>
      </w:r>
      <w:r>
        <w:rPr>
          <w:rFonts w:hint="default" w:ascii="Times New Roman" w:hAnsi="Times New Roman" w:eastAsia="方正仿宋_GBK" w:cs="Times New Roman"/>
          <w:color w:val="auto"/>
          <w:sz w:val="21"/>
          <w:szCs w:val="21"/>
          <w:highlight w:val="none"/>
        </w:rPr>
        <w:t>，采用网上增</w:t>
      </w:r>
      <w:r>
        <w:rPr>
          <w:rFonts w:hint="default" w:ascii="Times New Roman" w:hAnsi="Times New Roman" w:cs="Times New Roman"/>
          <w:color w:val="auto"/>
          <w:sz w:val="21"/>
          <w:szCs w:val="21"/>
          <w:highlight w:val="none"/>
          <w:lang w:val="en-US" w:eastAsia="zh-CN"/>
        </w:rPr>
        <w:t>价</w:t>
      </w:r>
      <w:r>
        <w:rPr>
          <w:rFonts w:hint="default" w:ascii="Times New Roman" w:hAnsi="Times New Roman" w:eastAsia="方正仿宋_GBK" w:cs="Times New Roman"/>
          <w:color w:val="auto"/>
          <w:sz w:val="21"/>
          <w:szCs w:val="21"/>
          <w:highlight w:val="none"/>
        </w:rPr>
        <w:t>报</w:t>
      </w:r>
      <w:r>
        <w:rPr>
          <w:rFonts w:hint="default" w:ascii="Times New Roman" w:hAnsi="Times New Roman" w:eastAsia="方正仿宋_GBK" w:cs="Times New Roman"/>
          <w:color w:val="auto"/>
          <w:kern w:val="0"/>
          <w:sz w:val="21"/>
          <w:szCs w:val="21"/>
          <w:highlight w:val="none"/>
        </w:rPr>
        <w:t>价的方式，</w:t>
      </w:r>
      <w:r>
        <w:rPr>
          <w:rFonts w:hint="default" w:ascii="Times New Roman" w:hAnsi="Times New Roman" w:eastAsia="方正仿宋_GBK" w:cs="Times New Roman"/>
          <w:color w:val="auto"/>
          <w:sz w:val="21"/>
          <w:szCs w:val="21"/>
          <w:highlight w:val="none"/>
        </w:rPr>
        <w:t>起拍价为出让收益起始价，</w:t>
      </w:r>
      <w:r>
        <w:rPr>
          <w:rFonts w:hint="default" w:ascii="Times New Roman" w:hAnsi="Times New Roman" w:eastAsia="方正仿宋_GBK" w:cs="Times New Roman"/>
          <w:color w:val="auto"/>
          <w:kern w:val="0"/>
          <w:sz w:val="21"/>
          <w:szCs w:val="21"/>
          <w:highlight w:val="none"/>
        </w:rPr>
        <w:t>增</w:t>
      </w:r>
      <w:r>
        <w:rPr>
          <w:rFonts w:hint="default" w:ascii="Times New Roman" w:hAnsi="Times New Roman" w:cs="Times New Roman"/>
          <w:color w:val="auto"/>
          <w:kern w:val="0"/>
          <w:sz w:val="21"/>
          <w:szCs w:val="21"/>
          <w:highlight w:val="none"/>
          <w:lang w:val="en-US" w:eastAsia="zh-CN"/>
        </w:rPr>
        <w:t>加</w:t>
      </w:r>
      <w:r>
        <w:rPr>
          <w:rFonts w:hint="default" w:ascii="Times New Roman" w:hAnsi="Times New Roman" w:eastAsia="方正仿宋_GBK" w:cs="Times New Roman"/>
          <w:color w:val="auto"/>
          <w:kern w:val="0"/>
          <w:sz w:val="21"/>
          <w:szCs w:val="21"/>
          <w:highlight w:val="none"/>
        </w:rPr>
        <w:t>幅度为</w:t>
      </w:r>
      <w:r>
        <w:rPr>
          <w:rFonts w:hint="default" w:ascii="Times New Roman" w:hAnsi="Times New Roman" w:eastAsia="方正仿宋_GBK" w:cs="Times New Roman"/>
          <w:color w:val="auto"/>
          <w:kern w:val="0"/>
          <w:sz w:val="21"/>
          <w:szCs w:val="21"/>
          <w:highlight w:val="none"/>
          <w:lang w:val="en-US" w:eastAsia="zh-CN"/>
        </w:rPr>
        <w:t>0.1</w:t>
      </w:r>
      <w:r>
        <w:rPr>
          <w:rFonts w:hint="default" w:ascii="Times New Roman" w:hAnsi="Times New Roman" w:eastAsia="方正仿宋_GBK" w:cs="Times New Roman"/>
          <w:color w:val="auto"/>
          <w:kern w:val="0"/>
          <w:sz w:val="21"/>
          <w:szCs w:val="21"/>
          <w:highlight w:val="none"/>
        </w:rPr>
        <w:t>万元或</w:t>
      </w:r>
      <w:r>
        <w:rPr>
          <w:rFonts w:hint="default" w:ascii="Times New Roman" w:hAnsi="Times New Roman" w:eastAsia="方正仿宋_GBK" w:cs="Times New Roman"/>
          <w:color w:val="auto"/>
          <w:kern w:val="0"/>
          <w:sz w:val="21"/>
          <w:szCs w:val="21"/>
          <w:highlight w:val="none"/>
          <w:lang w:val="en-US" w:eastAsia="zh-CN"/>
        </w:rPr>
        <w:t>0.1</w:t>
      </w:r>
      <w:r>
        <w:rPr>
          <w:rFonts w:hint="default" w:ascii="Times New Roman" w:hAnsi="Times New Roman" w:eastAsia="方正仿宋_GBK" w:cs="Times New Roman"/>
          <w:color w:val="auto"/>
          <w:kern w:val="0"/>
          <w:sz w:val="21"/>
          <w:szCs w:val="21"/>
          <w:highlight w:val="none"/>
        </w:rPr>
        <w:t>万元的整数倍，按照不低于底价的最高报价者得原则确定竞得人。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2.获得竞买资格的竞买人通过网上交易系统进行竞价。竞买人应当谨慎报价，报价一经提交，不得修改或撤回。</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3.网上拍卖时，网上交易系统以4分钟倒计时为竞价时限，若在4分钟倒计时内有新的报价，网上交易系统即从接受新的报价起再重新倒计时。若拍卖开始后，首个4分钟倒计时内均无人报价，则网上拍卖终止，采矿权不成交。</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4.4分钟倒计时截止，网上交易系统将不再接受新的报价，以最后一次报价为最终报价，网上交易系统自动判断竞价是否成功。</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5.网上拍卖结束时，网上交易系统将自动关闭报价通道，并公布竞价结果同时网上交易系统将向竞</w:t>
      </w:r>
      <w:r>
        <w:rPr>
          <w:rFonts w:hint="default" w:ascii="Times New Roman" w:hAnsi="Times New Roman" w:cs="Times New Roman"/>
          <w:color w:val="auto"/>
          <w:kern w:val="0"/>
          <w:sz w:val="21"/>
          <w:szCs w:val="21"/>
          <w:highlight w:val="none"/>
          <w:lang w:val="en-US" w:eastAsia="zh-CN"/>
        </w:rPr>
        <w:t>得</w:t>
      </w:r>
      <w:r>
        <w:rPr>
          <w:rFonts w:hint="default" w:ascii="Times New Roman" w:hAnsi="Times New Roman" w:eastAsia="方正仿宋_GBK" w:cs="Times New Roman"/>
          <w:color w:val="auto"/>
          <w:kern w:val="0"/>
          <w:sz w:val="21"/>
          <w:szCs w:val="21"/>
          <w:highlight w:val="none"/>
        </w:rPr>
        <w:t>人自动核发《竞得入选人通知书》</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（三）成交确认书签订：</w:t>
      </w:r>
      <w:r>
        <w:rPr>
          <w:rFonts w:hint="default" w:ascii="Times New Roman" w:hAnsi="Times New Roman" w:eastAsia="方正仿宋_GBK" w:cs="Times New Roman"/>
          <w:color w:val="auto"/>
          <w:sz w:val="21"/>
          <w:szCs w:val="21"/>
          <w:highlight w:val="none"/>
        </w:rPr>
        <w:t>该宗采矿权网上交易实行竞买资格前审制度，竞得入选人须在竞价完成后2个工作日内持《</w:t>
      </w:r>
      <w:r>
        <w:rPr>
          <w:rFonts w:hint="default" w:ascii="Times New Roman" w:hAnsi="Times New Roman" w:eastAsia="方正仿宋_GBK" w:cs="Times New Roman"/>
          <w:color w:val="auto"/>
          <w:kern w:val="0"/>
          <w:sz w:val="21"/>
          <w:szCs w:val="21"/>
          <w:highlight w:val="none"/>
        </w:rPr>
        <w:t>竞得入选人通知书</w:t>
      </w:r>
      <w:r>
        <w:rPr>
          <w:rFonts w:hint="default" w:ascii="Times New Roman" w:hAnsi="Times New Roman" w:eastAsia="方正仿宋_GBK" w:cs="Times New Roman"/>
          <w:color w:val="auto"/>
          <w:sz w:val="21"/>
          <w:szCs w:val="21"/>
          <w:highlight w:val="none"/>
        </w:rPr>
        <w:t>》及报名资料纸质件与重庆市公共资源交易中心签订《采矿权出让成交确认书》。</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（四）成交公示：</w:t>
      </w:r>
      <w:r>
        <w:rPr>
          <w:rFonts w:hint="default" w:ascii="Times New Roman" w:hAnsi="Times New Roman" w:eastAsia="方正仿宋_GBK" w:cs="Times New Roman"/>
          <w:color w:val="auto"/>
          <w:kern w:val="0"/>
          <w:sz w:val="21"/>
          <w:szCs w:val="21"/>
          <w:highlight w:val="none"/>
        </w:rPr>
        <w:t>拍卖成交后</w:t>
      </w:r>
      <w:r>
        <w:rPr>
          <w:rFonts w:hint="default" w:ascii="Times New Roman" w:hAnsi="Times New Roman" w:eastAsia="方正仿宋_GBK" w:cs="Times New Roman"/>
          <w:color w:val="auto"/>
          <w:sz w:val="21"/>
          <w:szCs w:val="21"/>
          <w:highlight w:val="none"/>
        </w:rPr>
        <w:t>的竞得人按规定即时签订《成交确认书》，成交结果在相关网站公示10个工作日。</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楷体_GBK" w:cs="Times New Roman"/>
          <w:color w:val="auto"/>
          <w:kern w:val="0"/>
          <w:sz w:val="21"/>
          <w:szCs w:val="21"/>
          <w:highlight w:val="none"/>
        </w:rPr>
        <w:t>（五）网上拍卖程序及竞得方式按照《中华人民共和国拍卖法》及重庆市有关规定执行。</w:t>
      </w:r>
      <w:r>
        <w:rPr>
          <w:rFonts w:hint="default" w:ascii="Times New Roman" w:hAnsi="Times New Roman" w:eastAsia="方正仿宋_GBK" w:cs="Times New Roman"/>
          <w:color w:val="auto"/>
          <w:sz w:val="21"/>
          <w:szCs w:val="21"/>
          <w:highlight w:val="none"/>
        </w:rPr>
        <w:t>如在拍卖程序中，本采矿权因监管部门要求需终止交易行为的，在告知竞买人后，退还采矿权竞买人已交纳的竞买保证金。</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六、出让收益的缴纳</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该宗采矿权按照出让收益率形式征收出让收益，在出让合同签订后一次性缴纳确定的成交价部分；在矿山开采时，按矿业权出让收益率（</w:t>
      </w:r>
      <w:r>
        <w:rPr>
          <w:rFonts w:hint="default" w:ascii="Times New Roman" w:hAnsi="Times New Roman" w:eastAsia="方正仿宋_GBK" w:cs="Times New Roman"/>
          <w:color w:val="auto"/>
          <w:sz w:val="21"/>
          <w:szCs w:val="21"/>
          <w:highlight w:val="none"/>
          <w:lang w:val="en-US" w:eastAsia="zh-CN"/>
        </w:rPr>
        <w:t>水温低于</w:t>
      </w:r>
      <w:r>
        <w:rPr>
          <w:rFonts w:hint="default" w:ascii="Times New Roman" w:hAnsi="Times New Roman" w:eastAsia="方正仿宋_GBK" w:cs="Times New Roman"/>
          <w:color w:val="auto"/>
          <w:sz w:val="21"/>
          <w:szCs w:val="21"/>
          <w:highlight w:val="none"/>
        </w:rPr>
        <w:t>60℃的</w:t>
      </w:r>
      <w:r>
        <w:rPr>
          <w:rFonts w:hint="default" w:ascii="Times New Roman" w:hAnsi="Times New Roman" w:eastAsia="方正仿宋_GBK" w:cs="Times New Roman"/>
          <w:color w:val="auto"/>
          <w:sz w:val="21"/>
          <w:szCs w:val="21"/>
          <w:highlight w:val="none"/>
          <w:lang w:val="en-US" w:eastAsia="zh-CN"/>
        </w:rPr>
        <w:t>地热为</w:t>
      </w:r>
      <w:r>
        <w:rPr>
          <w:rFonts w:hint="default" w:ascii="Times New Roman" w:hAnsi="Times New Roman" w:eastAsia="方正仿宋_GBK" w:cs="Times New Roman"/>
          <w:color w:val="auto"/>
          <w:sz w:val="21"/>
          <w:szCs w:val="21"/>
          <w:highlight w:val="none"/>
        </w:rPr>
        <w:t>3.6%）逐年缴纳采矿阶段出让收益（收益率部分）（采矿权出让收益=年度矿产品销售收入×矿业权出让收益率）。</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七、风险提示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default" w:ascii="Times New Roman" w:hAnsi="Times New Roman" w:cs="Times New Roman"/>
          <w:color w:val="auto"/>
          <w:sz w:val="21"/>
          <w:szCs w:val="21"/>
          <w:highlight w:val="none"/>
          <w:lang w:val="en-US" w:eastAsia="zh-CN"/>
        </w:rPr>
        <w:t>拟出让</w:t>
      </w:r>
      <w:r>
        <w:rPr>
          <w:rFonts w:hint="default" w:ascii="Times New Roman" w:hAnsi="Times New Roman" w:eastAsia="方正仿宋_GBK" w:cs="Times New Roman"/>
          <w:color w:val="auto"/>
          <w:sz w:val="21"/>
          <w:szCs w:val="21"/>
          <w:highlight w:val="none"/>
        </w:rPr>
        <w:t>采矿权现状和出让文件已完全认可并自愿承担所有风险。</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w:t>
      </w:r>
      <w:r>
        <w:rPr>
          <w:rFonts w:hint="default" w:ascii="Times New Roman" w:hAnsi="Times New Roman" w:eastAsia="方正仿宋_GBK" w:cs="Times New Roman"/>
          <w:color w:val="auto"/>
          <w:kern w:val="0"/>
          <w:sz w:val="21"/>
          <w:szCs w:val="21"/>
          <w:highlight w:val="none"/>
          <w:lang w:val="en-US" w:eastAsia="zh-CN"/>
        </w:rPr>
        <w:t>本地热</w:t>
      </w:r>
      <w:r>
        <w:rPr>
          <w:rFonts w:hint="default" w:ascii="Times New Roman" w:hAnsi="Times New Roman" w:eastAsia="方正仿宋_GBK" w:cs="Times New Roman"/>
          <w:color w:val="auto"/>
          <w:kern w:val="0"/>
          <w:sz w:val="21"/>
          <w:szCs w:val="21"/>
          <w:highlight w:val="none"/>
        </w:rPr>
        <w:t>为新设矿山</w:t>
      </w:r>
      <w:r>
        <w:rPr>
          <w:rFonts w:hint="default" w:ascii="Times New Roman" w:hAnsi="Times New Roman" w:eastAsia="方正仿宋_GBK" w:cs="Times New Roman"/>
          <w:color w:val="auto"/>
          <w:kern w:val="0"/>
          <w:sz w:val="21"/>
          <w:szCs w:val="21"/>
          <w:highlight w:val="none"/>
          <w:lang w:eastAsia="zh-CN"/>
        </w:rPr>
        <w:t>，出让的采矿权不包括土地使用权及其他物权，</w:t>
      </w:r>
      <w:r>
        <w:rPr>
          <w:rFonts w:hint="default" w:ascii="Times New Roman" w:hAnsi="Times New Roman" w:eastAsia="方正仿宋_GBK" w:cs="Times New Roman"/>
          <w:color w:val="auto"/>
          <w:kern w:val="0"/>
          <w:sz w:val="21"/>
          <w:szCs w:val="21"/>
          <w:highlight w:val="none"/>
          <w:lang w:val="en-US" w:eastAsia="zh-CN"/>
        </w:rPr>
        <w:t>其开采</w:t>
      </w:r>
      <w:r>
        <w:rPr>
          <w:rFonts w:hint="default" w:ascii="Times New Roman" w:hAnsi="Times New Roman" w:eastAsia="方正仿宋_GBK" w:cs="Times New Roman"/>
          <w:color w:val="auto"/>
          <w:kern w:val="0"/>
          <w:sz w:val="21"/>
          <w:szCs w:val="21"/>
          <w:highlight w:val="none"/>
        </w:rPr>
        <w:t>井口位于巴南区东温泉镇</w:t>
      </w:r>
      <w:r>
        <w:rPr>
          <w:rFonts w:hint="default" w:ascii="Times New Roman" w:hAnsi="Times New Roman" w:eastAsia="方正仿宋_GBK" w:cs="Times New Roman"/>
          <w:color w:val="auto"/>
          <w:kern w:val="0"/>
          <w:sz w:val="21"/>
          <w:szCs w:val="21"/>
          <w:highlight w:val="none"/>
          <w:lang w:val="en-US" w:eastAsia="zh-CN"/>
        </w:rPr>
        <w:t>佛灵</w:t>
      </w:r>
      <w:r>
        <w:rPr>
          <w:rFonts w:hint="default" w:ascii="Times New Roman" w:hAnsi="Times New Roman" w:eastAsia="方正仿宋_GBK" w:cs="Times New Roman"/>
          <w:color w:val="auto"/>
          <w:sz w:val="21"/>
          <w:szCs w:val="21"/>
          <w:highlight w:val="none"/>
          <w:lang w:val="en-US" w:eastAsia="zh-CN"/>
        </w:rPr>
        <w:t>街3号</w:t>
      </w:r>
      <w:r>
        <w:rPr>
          <w:rFonts w:hint="default" w:ascii="Times New Roman" w:hAnsi="Times New Roman" w:eastAsia="方正仿宋_GBK" w:cs="Times New Roman"/>
          <w:color w:val="auto"/>
          <w:kern w:val="0"/>
          <w:sz w:val="21"/>
          <w:szCs w:val="21"/>
          <w:highlight w:val="none"/>
        </w:rPr>
        <w:t>的存量国有建设用地宗地范围内，开采井口、生产生活及办公区、进场道路等其他设施用地采取租赁方式保障</w:t>
      </w:r>
      <w:r>
        <w:rPr>
          <w:rFonts w:hint="default" w:ascii="Times New Roman" w:hAnsi="Times New Roman" w:eastAsia="方正仿宋_GBK" w:cs="Times New Roman"/>
          <w:color w:val="auto"/>
          <w:kern w:val="0"/>
          <w:sz w:val="21"/>
          <w:szCs w:val="21"/>
          <w:highlight w:val="none"/>
          <w:lang w:eastAsia="zh-CN"/>
        </w:rPr>
        <w:t>。</w:t>
      </w:r>
      <w:r>
        <w:rPr>
          <w:rFonts w:hint="default" w:ascii="Times New Roman" w:hAnsi="Times New Roman" w:eastAsia="方正仿宋_GBK" w:cs="Times New Roman"/>
          <w:color w:val="auto"/>
          <w:kern w:val="0"/>
          <w:sz w:val="21"/>
          <w:szCs w:val="21"/>
          <w:highlight w:val="none"/>
        </w:rPr>
        <w:t>有关该宗采矿权的</w:t>
      </w:r>
      <w:r>
        <w:rPr>
          <w:rFonts w:hint="default" w:ascii="Times New Roman" w:hAnsi="Times New Roman" w:cs="Times New Roman"/>
          <w:color w:val="auto"/>
          <w:kern w:val="0"/>
          <w:sz w:val="21"/>
          <w:szCs w:val="21"/>
          <w:highlight w:val="none"/>
          <w:lang w:val="en-US" w:eastAsia="zh-CN"/>
        </w:rPr>
        <w:t>用地、</w:t>
      </w:r>
      <w:r>
        <w:rPr>
          <w:rFonts w:hint="default" w:ascii="Times New Roman" w:hAnsi="Times New Roman" w:eastAsia="方正仿宋_GBK" w:cs="Times New Roman"/>
          <w:color w:val="auto"/>
          <w:kern w:val="0"/>
          <w:sz w:val="21"/>
          <w:szCs w:val="21"/>
          <w:highlight w:val="none"/>
        </w:rPr>
        <w:t>用水、用电、公路、环保、基础设施等工作，由竞得人自行负责解决并依法完善相关手续</w:t>
      </w:r>
      <w:r>
        <w:rPr>
          <w:rFonts w:hint="default" w:ascii="Times New Roman" w:hAnsi="Times New Roman" w:eastAsia="方正仿宋_GBK" w:cs="Times New Roman"/>
          <w:color w:val="auto"/>
          <w:kern w:val="0"/>
          <w:sz w:val="21"/>
          <w:szCs w:val="21"/>
          <w:highlight w:val="none"/>
          <w:lang w:eastAsia="zh-CN"/>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（三）若竞得人竞得该宗采矿权后，在办理采矿登记前进行安全、环境评价等认定为不适宜开采的，该宗采矿权按不成交处理。</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（四）网络安全风险提示。申请人或竞得人网上报名行为所产生的法律后果，由申请人或竞得人自行承担。</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1.操作系统请使用Win10及以上；浏览器请使用Edge浏览器，其它操作系统与浏览器可能会影响申请人正常参与网上报名活动。因浏览器使用不当引致的后果由申请人自行承担；</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2.申请人应妥善保管数字证书及其密码，凡在互联网使用数字证书登录交易系统所实施的行为，视为申请人的真实意思表示或经过申请人的合法授权，行为所产生的法律后果及责任由申请人自行承担。</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因网上交易系统出现故障，造成采矿权网上交易出现异常情况的，按照《重庆市国有建设用地使用权和矿业权网上交易应急处置暂行规定》的有关规定进行处置。</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八、违约责任、公共资源交易领域失信联合惩戒相关提示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（二）有下列情形之一的，视为竞买人、竞得人违约，竞得结果无效，并将其列入失信联合惩戒名单、竞买保证金不予退还，出让方有权不再签订出让合同或解除合同：</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1.竞买人之间串通报价，损害国家利益、社会公共利益或者他人合法权益的；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2.竞买人弄虚作假，骗取交易资格或竞得的；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3.采取行贿或其他不正当手段竞得的；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4.竞得人逾期不签订或者拒绝签订成交确认书的；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5.竞得人逾期不签订或者拒绝签订出让合同的；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6.其他依法应当认定为违约的情形。</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九、出让合同签订事宜说明</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1.采矿权出让合同签订申请书（原件1份）；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2.采矿权成交确认书（复印件1份）；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3.工商营业执照副本（复印件1份）；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4.法人身份证明（复印件1份）；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5.法人不能亲自办理的应提供《授权委托书》（原件1份）；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6.受托人身份证明（复印件1份）；</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b/>
          <w:bCs/>
          <w:color w:val="auto"/>
          <w:sz w:val="21"/>
          <w:szCs w:val="21"/>
          <w:highlight w:val="none"/>
        </w:rPr>
      </w:pPr>
      <w:r>
        <w:rPr>
          <w:rFonts w:hint="default" w:ascii="Times New Roman" w:hAnsi="Times New Roman" w:eastAsia="方正仿宋_GBK" w:cs="Times New Roman"/>
          <w:color w:val="auto"/>
          <w:sz w:val="21"/>
          <w:szCs w:val="21"/>
          <w:highlight w:val="none"/>
        </w:rPr>
        <w:t>7.按照成交结果完善的《重庆市采矿权出让合同》签章件6份（原件）。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十、对交易矿业权异议的处理方式</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对本次出让的采矿权存有异议的，应在</w:t>
      </w:r>
      <w:r>
        <w:rPr>
          <w:rFonts w:hint="default" w:ascii="Times New Roman" w:hAnsi="Times New Roman" w:cs="Times New Roman"/>
          <w:color w:val="auto"/>
          <w:sz w:val="21"/>
          <w:szCs w:val="21"/>
          <w:highlight w:val="none"/>
          <w:lang w:val="en-US" w:eastAsia="zh-CN"/>
        </w:rPr>
        <w:t>采矿权出让</w:t>
      </w:r>
      <w:r>
        <w:rPr>
          <w:rFonts w:hint="default" w:ascii="Times New Roman" w:hAnsi="Times New Roman" w:eastAsia="方正仿宋_GBK" w:cs="Times New Roman"/>
          <w:color w:val="auto"/>
          <w:sz w:val="21"/>
          <w:szCs w:val="21"/>
          <w:highlight w:val="none"/>
        </w:rPr>
        <w:t>公告期截止前以书面方式向</w:t>
      </w:r>
      <w:r>
        <w:rPr>
          <w:rFonts w:hint="default" w:ascii="Times New Roman" w:hAnsi="Times New Roman" w:eastAsia="方正仿宋_GBK" w:cs="Times New Roman"/>
          <w:color w:val="auto"/>
          <w:sz w:val="21"/>
          <w:szCs w:val="21"/>
          <w:highlight w:val="none"/>
          <w:lang w:val="en-US" w:eastAsia="zh-CN"/>
        </w:rPr>
        <w:t>重庆市巴南区</w:t>
      </w:r>
      <w:r>
        <w:rPr>
          <w:rFonts w:hint="default" w:ascii="Times New Roman" w:hAnsi="Times New Roman" w:eastAsia="方正仿宋_GBK" w:cs="Times New Roman"/>
          <w:color w:val="auto"/>
          <w:sz w:val="21"/>
          <w:szCs w:val="21"/>
          <w:highlight w:val="none"/>
        </w:rPr>
        <w:t>规划和自然资源局提出（联系</w:t>
      </w:r>
      <w:r>
        <w:rPr>
          <w:rFonts w:hint="default" w:ascii="Times New Roman" w:hAnsi="Times New Roman" w:eastAsia="方正仿宋_GBK" w:cs="Times New Roman"/>
          <w:color w:val="auto"/>
          <w:sz w:val="21"/>
          <w:szCs w:val="21"/>
          <w:highlight w:val="none"/>
          <w:u w:val="none"/>
        </w:rPr>
        <w:t>人：</w:t>
      </w:r>
      <w:r>
        <w:rPr>
          <w:rFonts w:hint="default" w:ascii="Times New Roman" w:hAnsi="Times New Roman" w:eastAsia="方正仿宋_GBK" w:cs="Times New Roman"/>
          <w:color w:val="auto"/>
          <w:sz w:val="21"/>
          <w:szCs w:val="21"/>
          <w:highlight w:val="none"/>
          <w:u w:val="single"/>
          <w:lang w:val="en-US" w:eastAsia="zh-CN"/>
        </w:rPr>
        <w:t>陈老师</w:t>
      </w:r>
      <w:r>
        <w:rPr>
          <w:rFonts w:hint="default" w:ascii="Times New Roman" w:hAnsi="Times New Roman" w:eastAsia="方正仿宋_GBK" w:cs="Times New Roman"/>
          <w:color w:val="auto"/>
          <w:sz w:val="21"/>
          <w:szCs w:val="21"/>
          <w:highlight w:val="none"/>
          <w:u w:val="none"/>
        </w:rPr>
        <w:t>，联系电话：</w:t>
      </w:r>
      <w:r>
        <w:rPr>
          <w:rFonts w:hint="default" w:ascii="Times New Roman" w:hAnsi="Times New Roman" w:eastAsia="方正仿宋_GBK" w:cs="Times New Roman"/>
          <w:color w:val="auto"/>
          <w:sz w:val="21"/>
          <w:szCs w:val="21"/>
          <w:highlight w:val="none"/>
          <w:u w:val="single"/>
          <w:lang w:val="en-US" w:eastAsia="zh-CN"/>
        </w:rPr>
        <w:t>023-66221704</w:t>
      </w:r>
      <w:r>
        <w:rPr>
          <w:rFonts w:hint="default" w:ascii="Times New Roman" w:hAnsi="Times New Roman" w:eastAsia="方正仿宋_GBK" w:cs="Times New Roman"/>
          <w:color w:val="auto"/>
          <w:sz w:val="21"/>
          <w:szCs w:val="21"/>
          <w:highlight w:val="none"/>
          <w:u w:val="none"/>
        </w:rPr>
        <w:t>）。根</w:t>
      </w:r>
      <w:r>
        <w:rPr>
          <w:rFonts w:hint="default" w:ascii="Times New Roman" w:hAnsi="Times New Roman" w:eastAsia="方正仿宋_GBK" w:cs="Times New Roman"/>
          <w:color w:val="auto"/>
          <w:sz w:val="21"/>
          <w:szCs w:val="21"/>
          <w:highlight w:val="none"/>
        </w:rPr>
        <w:t>据所提异议的具体情况，按照《矿业权出让交易规则》（自然资规〔2023〕1号）等相关规定进行妥善处置。</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十一、交易中止或终止</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（一）有下列情形之一的，市公共资源交易中心将发布中止网上交易公告，并中止网上交易活动：</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1.公告公示期间发现出让的矿业权权属争议尚未解决的；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2.竞得人有矿产资源违法行为的行政处罚逾期不履行的；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3.因不可抗力或者政策变化应当中止交易的其他情形。</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（二）有下列情形之一的，市公共资源交易中心将发布终止网上交易公告，并终止网上交易活动：</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1.出让人因有关政策规定、矿业权出让所依据的客观情况等发生重大变化提出终止交易的；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2.因不可抗力应当终止交易的；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3.法律法规规定的其他情形。</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（三）依法应当中止或者终止网上交易活动的其他情形：</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1.司法机关、监察机关依法要求中止或者终止网上交易活动的；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2.网上交易系统软、硬件故障，网上交易系统网络专线故障，网上交易CA认证系统故障，银行保证金交纳系统故障等，导致网上交易系统不能正常运行的；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3.因网络入侵等非可控因素，导致网上交易系统不能正常运行的。</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黑体_GBK" w:cs="Times New Roman"/>
          <w:color w:val="auto"/>
          <w:kern w:val="0"/>
          <w:sz w:val="21"/>
          <w:szCs w:val="21"/>
          <w:highlight w:val="none"/>
        </w:rPr>
      </w:pPr>
      <w:r>
        <w:rPr>
          <w:rFonts w:hint="default" w:ascii="Times New Roman" w:hAnsi="Times New Roman" w:eastAsia="方正黑体_GBK" w:cs="Times New Roman"/>
          <w:color w:val="auto"/>
          <w:kern w:val="0"/>
          <w:sz w:val="21"/>
          <w:szCs w:val="21"/>
          <w:highlight w:val="none"/>
        </w:rPr>
        <w:t>十二、其他重要提示</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eastAsia="zh-CN"/>
        </w:rPr>
      </w:pPr>
      <w:r>
        <w:rPr>
          <w:rFonts w:hint="default" w:ascii="Times New Roman" w:hAnsi="Times New Roman" w:eastAsia="方正仿宋_GBK" w:cs="Times New Roman"/>
          <w:color w:val="auto"/>
          <w:sz w:val="21"/>
          <w:szCs w:val="21"/>
          <w:highlight w:val="none"/>
          <w:lang w:eastAsia="zh-CN"/>
        </w:rPr>
        <w:t>（一）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lang w:eastAsia="zh-CN"/>
        </w:rPr>
      </w:pPr>
      <w:r>
        <w:rPr>
          <w:rFonts w:hint="default" w:ascii="Times New Roman" w:hAnsi="Times New Roman" w:eastAsia="方正仿宋_GBK" w:cs="Times New Roman"/>
          <w:color w:val="auto"/>
          <w:sz w:val="21"/>
          <w:szCs w:val="21"/>
          <w:highlight w:val="none"/>
          <w:lang w:eastAsia="zh-CN"/>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lang w:val="en-US" w:eastAsia="zh-CN"/>
        </w:rPr>
        <w:t>三）重庆市巴南区规划和自然资源局</w:t>
      </w:r>
      <w:r>
        <w:rPr>
          <w:rFonts w:hint="default" w:ascii="Times New Roman" w:hAnsi="Times New Roman" w:eastAsia="方正仿宋_GBK" w:cs="Times New Roman"/>
          <w:color w:val="auto"/>
          <w:sz w:val="21"/>
          <w:szCs w:val="21"/>
          <w:highlight w:val="none"/>
        </w:rPr>
        <w:t>已</w:t>
      </w:r>
      <w:r>
        <w:rPr>
          <w:rFonts w:hint="default" w:ascii="Times New Roman" w:hAnsi="Times New Roman" w:eastAsia="方正仿宋_GBK" w:cs="Times New Roman"/>
          <w:color w:val="auto"/>
          <w:sz w:val="21"/>
          <w:szCs w:val="21"/>
          <w:highlight w:val="none"/>
          <w:lang w:val="en-US" w:eastAsia="zh-CN"/>
        </w:rPr>
        <w:t>协调该地热采矿权井口所处存量国有建设用地宗地权属人，竞得人竞得该采矿权后，若使用井口及开采设施所处宗地及其附属房屋，由竞得人与宗地权属人签订租赁协议，租赁费用在出让收益外单列，由竞得人另行支付给宗地权属人。土地、房屋租赁费用由巴南区规划和自然资源局委托重庆市国能矿业权资产评估有限公司评估，租赁费用为人民币380.42万</w:t>
      </w:r>
      <w:r>
        <w:rPr>
          <w:rFonts w:hint="default" w:ascii="Times New Roman" w:hAnsi="Times New Roman" w:eastAsia="方正仿宋_GBK" w:cs="Times New Roman"/>
          <w:color w:val="auto"/>
          <w:sz w:val="21"/>
          <w:szCs w:val="21"/>
          <w:highlight w:val="none"/>
        </w:rPr>
        <w:t>元/年，租赁年限与矿产资源开发利用期限</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lang w:val="en-US" w:eastAsia="zh-CN"/>
        </w:rPr>
        <w:t>出让年限</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rPr>
        <w:t>保持一致。竞买人在报名前须自行开展必要的现场踏勘，查询相关报告、协议、凭据等资料，了解具体支付方式及转接要求（</w:t>
      </w:r>
      <w:r>
        <w:rPr>
          <w:rFonts w:hint="default" w:ascii="Times New Roman" w:hAnsi="Times New Roman" w:eastAsia="方正仿宋_GBK" w:cs="Times New Roman"/>
          <w:color w:val="auto"/>
          <w:sz w:val="21"/>
          <w:szCs w:val="21"/>
          <w:highlight w:val="none"/>
          <w:lang w:eastAsia="zh-CN"/>
        </w:rPr>
        <w:t>重庆市巴南区规划和自然资源局</w:t>
      </w:r>
      <w:r>
        <w:rPr>
          <w:rFonts w:hint="default" w:ascii="Times New Roman" w:hAnsi="Times New Roman" w:eastAsia="方正仿宋_GBK" w:cs="Times New Roman"/>
          <w:color w:val="auto"/>
          <w:sz w:val="21"/>
          <w:szCs w:val="21"/>
          <w:highlight w:val="none"/>
        </w:rPr>
        <w:t>联系人：</w:t>
      </w:r>
      <w:r>
        <w:rPr>
          <w:rFonts w:hint="default" w:ascii="Times New Roman" w:hAnsi="Times New Roman" w:eastAsia="方正仿宋_GBK" w:cs="Times New Roman"/>
          <w:color w:val="auto"/>
          <w:sz w:val="21"/>
          <w:szCs w:val="21"/>
          <w:highlight w:val="none"/>
          <w:lang w:val="en-US" w:eastAsia="zh-CN"/>
        </w:rPr>
        <w:t>陈老师</w:t>
      </w:r>
      <w:r>
        <w:rPr>
          <w:rFonts w:hint="default" w:ascii="Times New Roman" w:hAnsi="Times New Roman" w:eastAsia="方正仿宋_GBK" w:cs="Times New Roman"/>
          <w:color w:val="auto"/>
          <w:sz w:val="21"/>
          <w:szCs w:val="21"/>
          <w:highlight w:val="none"/>
        </w:rPr>
        <w:t>，联系电话：</w:t>
      </w:r>
      <w:r>
        <w:rPr>
          <w:rFonts w:hint="default" w:ascii="Times New Roman" w:hAnsi="Times New Roman" w:eastAsia="方正仿宋_GBK" w:cs="Times New Roman"/>
          <w:color w:val="auto"/>
          <w:sz w:val="21"/>
          <w:szCs w:val="21"/>
          <w:highlight w:val="none"/>
          <w:lang w:val="en-US" w:eastAsia="zh-CN"/>
        </w:rPr>
        <w:t>023-66221704</w:t>
      </w:r>
      <w:r>
        <w:rPr>
          <w:rFonts w:hint="default" w:ascii="Times New Roman" w:hAnsi="Times New Roman" w:eastAsia="方正仿宋_GBK" w:cs="Times New Roman"/>
          <w:color w:val="auto"/>
          <w:sz w:val="21"/>
          <w:szCs w:val="21"/>
          <w:highlight w:val="none"/>
        </w:rPr>
        <w:t>）。</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w:t>
      </w:r>
      <w:r>
        <w:rPr>
          <w:rFonts w:hint="eastAsia" w:cs="Times New Roman"/>
          <w:color w:val="auto"/>
          <w:sz w:val="21"/>
          <w:szCs w:val="21"/>
          <w:highlight w:val="none"/>
          <w:lang w:val="en-US" w:eastAsia="zh-CN"/>
        </w:rPr>
        <w:t>四</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rPr>
        <w:t>提交竞买申请即视为竞买人对拟出让采矿权现状、出让文件、采矿权出让合同、</w:t>
      </w:r>
      <w:r>
        <w:rPr>
          <w:rFonts w:hint="default" w:ascii="Times New Roman" w:hAnsi="Times New Roman" w:eastAsia="方正仿宋_GBK" w:cs="Times New Roman"/>
          <w:color w:val="auto"/>
          <w:sz w:val="21"/>
          <w:szCs w:val="21"/>
          <w:highlight w:val="none"/>
          <w:lang w:val="en-US" w:eastAsia="zh-CN"/>
        </w:rPr>
        <w:t>土地房屋租赁</w:t>
      </w:r>
      <w:r>
        <w:rPr>
          <w:rFonts w:hint="default" w:ascii="Times New Roman" w:hAnsi="Times New Roman" w:eastAsia="方正仿宋_GBK" w:cs="Times New Roman"/>
          <w:color w:val="auto"/>
          <w:sz w:val="21"/>
          <w:szCs w:val="21"/>
          <w:highlight w:val="none"/>
        </w:rPr>
        <w:t>费用、政策要求等内容已完全认可并自愿承担所有风险。</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val="en-US" w:eastAsia="zh-CN"/>
        </w:rPr>
        <w:t>（</w:t>
      </w:r>
      <w:r>
        <w:rPr>
          <w:rFonts w:hint="eastAsia" w:cs="Times New Roman"/>
          <w:color w:val="auto"/>
          <w:sz w:val="21"/>
          <w:szCs w:val="21"/>
          <w:highlight w:val="none"/>
          <w:lang w:val="en-US" w:eastAsia="zh-CN"/>
        </w:rPr>
        <w:t>五</w:t>
      </w:r>
      <w:r>
        <w:rPr>
          <w:rFonts w:hint="default" w:ascii="Times New Roman" w:hAnsi="Times New Roman" w:eastAsia="方正仿宋_GBK" w:cs="Times New Roman"/>
          <w:color w:val="auto"/>
          <w:sz w:val="21"/>
          <w:szCs w:val="21"/>
          <w:highlight w:val="none"/>
          <w:lang w:val="en-US" w:eastAsia="zh-CN"/>
        </w:rPr>
        <w:t>）竞得人在签收《成交确认书》之日起5个工作日内需另行支付交易服务费</w:t>
      </w:r>
      <w:r>
        <w:rPr>
          <w:rFonts w:hint="eastAsia" w:cs="Times New Roman"/>
          <w:color w:val="auto"/>
          <w:sz w:val="21"/>
          <w:szCs w:val="21"/>
          <w:highlight w:val="none"/>
          <w:u w:val="single"/>
          <w:lang w:val="en-US" w:eastAsia="zh-CN"/>
        </w:rPr>
        <w:t>14.55</w:t>
      </w:r>
      <w:r>
        <w:rPr>
          <w:rFonts w:hint="default" w:ascii="Times New Roman" w:hAnsi="Times New Roman" w:eastAsia="方正仿宋_GBK" w:cs="Times New Roman"/>
          <w:color w:val="auto"/>
          <w:sz w:val="21"/>
          <w:szCs w:val="21"/>
          <w:highlight w:val="none"/>
          <w:lang w:val="en-US" w:eastAsia="zh-CN"/>
        </w:rPr>
        <w:t>元（暂定，以最终成交价测算为准）。收费标准按《重庆市发展和改革委员会关于矿业权和加工贸易废料交易服务收费有关事项的通知》（渝发改收费〔2025〕421号）执行。</w:t>
      </w:r>
    </w:p>
    <w:p>
      <w:pPr>
        <w:keepNext w:val="0"/>
        <w:keepLines w:val="0"/>
        <w:pageBreakBefore w:val="0"/>
        <w:kinsoku/>
        <w:overflowPunct/>
        <w:topLinePunct w:val="0"/>
        <w:autoSpaceDE/>
        <w:autoSpaceDN/>
        <w:bidi w:val="0"/>
        <w:spacing w:after="0" w:afterLines="0"/>
        <w:textAlignment w:val="auto"/>
        <w:rPr>
          <w:rFonts w:hint="default" w:ascii="Times New Roman" w:hAnsi="Times New Roman" w:eastAsia="方正仿宋_GBK" w:cs="Times New Roman"/>
          <w:color w:val="auto"/>
          <w:sz w:val="21"/>
          <w:szCs w:val="21"/>
          <w:highlight w:val="none"/>
        </w:rPr>
      </w:pPr>
    </w:p>
    <w:p>
      <w:pPr>
        <w:keepNext w:val="0"/>
        <w:keepLines w:val="0"/>
        <w:pageBreakBefore w:val="0"/>
        <w:kinsoku/>
        <w:overflowPunct/>
        <w:topLinePunct w:val="0"/>
        <w:autoSpaceDE/>
        <w:autoSpaceDN/>
        <w:bidi w:val="0"/>
        <w:spacing w:after="0" w:afterLines="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附件：</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1.《竞买申请书》</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2.《授权委托书》</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3.重庆市采矿权出让合同（模板）</w:t>
      </w:r>
    </w:p>
    <w:p>
      <w:pPr>
        <w:keepNext w:val="0"/>
        <w:keepLines w:val="0"/>
        <w:pageBreakBefore w:val="0"/>
        <w:kinsoku/>
        <w:overflowPunct/>
        <w:topLinePunct w:val="0"/>
        <w:autoSpaceDE/>
        <w:autoSpaceDN/>
        <w:bidi w:val="0"/>
        <w:spacing w:after="0" w:afterLines="0" w:line="360" w:lineRule="exact"/>
        <w:ind w:firstLine="420" w:firstLineChars="200"/>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4.《成交确认书》</w:t>
      </w:r>
    </w:p>
    <w:p>
      <w:pPr>
        <w:keepNext w:val="0"/>
        <w:keepLines w:val="0"/>
        <w:pageBreakBefore w:val="0"/>
        <w:kinsoku/>
        <w:overflowPunct/>
        <w:topLinePunct w:val="0"/>
        <w:autoSpaceDE/>
        <w:autoSpaceDN/>
        <w:bidi w:val="0"/>
        <w:spacing w:after="0" w:afterLines="0" w:line="360" w:lineRule="exact"/>
        <w:ind w:firstLine="420" w:firstLineChars="200"/>
        <w:jc w:val="right"/>
        <w:textAlignment w:val="auto"/>
        <w:rPr>
          <w:rFonts w:hint="default" w:ascii="Times New Roman" w:hAnsi="Times New Roman" w:eastAsia="方正仿宋_GBK" w:cs="Times New Roman"/>
          <w:color w:val="auto"/>
          <w:sz w:val="21"/>
          <w:szCs w:val="21"/>
          <w:highlight w:val="none"/>
        </w:rPr>
      </w:pPr>
    </w:p>
    <w:p>
      <w:pPr>
        <w:pStyle w:val="2"/>
        <w:keepNext w:val="0"/>
        <w:keepLines w:val="0"/>
        <w:pageBreakBefore w:val="0"/>
        <w:kinsoku/>
        <w:overflowPunct/>
        <w:topLinePunct w:val="0"/>
        <w:autoSpaceDE/>
        <w:autoSpaceDN/>
        <w:bidi w:val="0"/>
        <w:spacing w:after="0" w:afterLines="0"/>
        <w:textAlignment w:val="auto"/>
        <w:rPr>
          <w:rFonts w:hint="default" w:ascii="Times New Roman" w:hAnsi="Times New Roman" w:cs="Times New Roman"/>
          <w:color w:val="auto"/>
          <w:sz w:val="21"/>
          <w:szCs w:val="21"/>
          <w:highlight w:val="none"/>
        </w:rPr>
      </w:pPr>
    </w:p>
    <w:p>
      <w:pPr>
        <w:keepNext w:val="0"/>
        <w:keepLines w:val="0"/>
        <w:pageBreakBefore w:val="0"/>
        <w:kinsoku/>
        <w:overflowPunct/>
        <w:topLinePunct w:val="0"/>
        <w:autoSpaceDE/>
        <w:autoSpaceDN/>
        <w:bidi w:val="0"/>
        <w:spacing w:after="0" w:afterLines="0" w:line="360" w:lineRule="exact"/>
        <w:ind w:firstLine="420" w:firstLineChars="200"/>
        <w:jc w:val="right"/>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年</w:t>
      </w:r>
      <w:r>
        <w:rPr>
          <w:rFonts w:hint="default" w:ascii="Times New Roman" w:hAnsi="Times New Roman" w:eastAsia="方正仿宋_GBK" w:cs="Times New Roman"/>
          <w:color w:val="auto"/>
          <w:sz w:val="21"/>
          <w:szCs w:val="21"/>
          <w:highlight w:val="none"/>
          <w:lang w:val="en-US" w:eastAsia="zh-CN"/>
        </w:rPr>
        <w:t xml:space="preserve">   </w:t>
      </w:r>
      <w:r>
        <w:rPr>
          <w:rFonts w:hint="default" w:ascii="Times New Roman" w:hAnsi="Times New Roman" w:eastAsia="方正仿宋_GBK" w:cs="Times New Roman"/>
          <w:color w:val="auto"/>
          <w:sz w:val="21"/>
          <w:szCs w:val="21"/>
          <w:highlight w:val="none"/>
        </w:rPr>
        <w:t>月</w:t>
      </w:r>
      <w:r>
        <w:rPr>
          <w:rFonts w:hint="default" w:ascii="Times New Roman" w:hAnsi="Times New Roman" w:eastAsia="方正仿宋_GBK" w:cs="Times New Roman"/>
          <w:color w:val="auto"/>
          <w:sz w:val="21"/>
          <w:szCs w:val="21"/>
          <w:highlight w:val="none"/>
          <w:lang w:val="en-US" w:eastAsia="zh-CN"/>
        </w:rPr>
        <w:t xml:space="preserve">   </w:t>
      </w:r>
      <w:r>
        <w:rPr>
          <w:rFonts w:hint="default" w:ascii="Times New Roman" w:hAnsi="Times New Roman" w:eastAsia="方正仿宋_GBK" w:cs="Times New Roman"/>
          <w:color w:val="auto"/>
          <w:sz w:val="21"/>
          <w:szCs w:val="21"/>
          <w:highlight w:val="none"/>
        </w:rPr>
        <w:t>日</w:t>
      </w:r>
    </w:p>
    <w:tbl>
      <w:tblPr>
        <w:tblStyle w:val="9"/>
        <w:tblpPr w:leftFromText="180" w:rightFromText="180" w:vertAnchor="text" w:horzAnchor="margin" w:tblpXSpec="center" w:tblpY="426"/>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2" w:hRule="exact"/>
          <w:jc w:val="center"/>
        </w:trPr>
        <w:tc>
          <w:tcPr>
            <w:tcW w:w="5000" w:type="pct"/>
            <w:noWrap w:val="0"/>
            <w:vAlign w:val="top"/>
          </w:tcPr>
          <w:p>
            <w:pPr>
              <w:keepNext w:val="0"/>
              <w:keepLines w:val="0"/>
              <w:pageBreakBefore w:val="0"/>
              <w:widowControl/>
              <w:kinsoku/>
              <w:overflowPunct/>
              <w:topLinePunct w:val="0"/>
              <w:autoSpaceDE/>
              <w:autoSpaceDN/>
              <w:bidi w:val="0"/>
              <w:adjustRightInd w:val="0"/>
              <w:snapToGrid w:val="0"/>
              <w:spacing w:after="0" w:afterLines="0" w:line="360" w:lineRule="exact"/>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竞买申请人声明：</w:t>
            </w:r>
            <w:r>
              <w:rPr>
                <w:rFonts w:hint="default" w:ascii="Times New Roman" w:hAnsi="Times New Roman" w:eastAsia="方正仿宋_GBK" w:cs="Times New Roman"/>
                <w:i/>
                <w:color w:val="auto"/>
                <w:sz w:val="21"/>
                <w:szCs w:val="21"/>
                <w:highlight w:val="none"/>
                <w:u w:val="single"/>
              </w:rPr>
              <w:t>（填写已自行踏勘、知晓、自愿等声明）</w:t>
            </w:r>
          </w:p>
          <w:p>
            <w:pPr>
              <w:keepNext w:val="0"/>
              <w:keepLines w:val="0"/>
              <w:pageBreakBefore w:val="0"/>
              <w:widowControl/>
              <w:kinsoku/>
              <w:overflowPunct/>
              <w:topLinePunct w:val="0"/>
              <w:autoSpaceDE/>
              <w:autoSpaceDN/>
              <w:bidi w:val="0"/>
              <w:adjustRightInd w:val="0"/>
              <w:snapToGrid w:val="0"/>
              <w:spacing w:after="0" w:afterLines="0" w:line="360" w:lineRule="exact"/>
              <w:textAlignment w:val="auto"/>
              <w:rPr>
                <w:rFonts w:hint="default" w:ascii="Times New Roman" w:hAnsi="Times New Roman" w:eastAsia="方正仿宋_GBK" w:cs="Times New Roman"/>
                <w:color w:val="auto"/>
                <w:sz w:val="21"/>
                <w:szCs w:val="21"/>
                <w:highlight w:val="none"/>
                <w:u w:val="single"/>
              </w:rPr>
            </w:pPr>
          </w:p>
          <w:p>
            <w:pPr>
              <w:pStyle w:val="2"/>
              <w:keepNext w:val="0"/>
              <w:keepLines w:val="0"/>
              <w:pageBreakBefore w:val="0"/>
              <w:widowControl/>
              <w:kinsoku/>
              <w:overflowPunct/>
              <w:topLinePunct w:val="0"/>
              <w:autoSpaceDE/>
              <w:autoSpaceDN/>
              <w:bidi w:val="0"/>
              <w:adjustRightInd w:val="0"/>
              <w:snapToGrid w:val="0"/>
              <w:spacing w:after="0" w:afterLines="0"/>
              <w:ind w:left="0" w:leftChars="0" w:firstLine="0" w:firstLineChars="0"/>
              <w:textAlignment w:val="auto"/>
              <w:rPr>
                <w:rFonts w:hint="default" w:ascii="Times New Roman" w:hAnsi="Times New Roman" w:cs="Times New Roman"/>
                <w:color w:val="auto"/>
                <w:sz w:val="21"/>
                <w:szCs w:val="21"/>
                <w:highlight w:val="none"/>
              </w:rPr>
            </w:pPr>
          </w:p>
          <w:p>
            <w:pPr>
              <w:pStyle w:val="2"/>
              <w:keepNext w:val="0"/>
              <w:keepLines w:val="0"/>
              <w:pageBreakBefore w:val="0"/>
              <w:widowControl/>
              <w:kinsoku/>
              <w:overflowPunct/>
              <w:topLinePunct w:val="0"/>
              <w:autoSpaceDE/>
              <w:autoSpaceDN/>
              <w:bidi w:val="0"/>
              <w:adjustRightInd w:val="0"/>
              <w:snapToGrid w:val="0"/>
              <w:spacing w:after="0" w:afterLines="0"/>
              <w:ind w:left="0" w:leftChars="0" w:firstLine="0" w:firstLineChars="0"/>
              <w:textAlignment w:val="auto"/>
              <w:rPr>
                <w:rFonts w:hint="default" w:ascii="Times New Roman" w:hAnsi="Times New Roman" w:cs="Times New Roman"/>
                <w:color w:val="auto"/>
                <w:sz w:val="21"/>
                <w:szCs w:val="21"/>
                <w:highlight w:val="none"/>
              </w:rPr>
            </w:pPr>
          </w:p>
          <w:p>
            <w:pPr>
              <w:pStyle w:val="2"/>
              <w:keepNext w:val="0"/>
              <w:keepLines w:val="0"/>
              <w:pageBreakBefore w:val="0"/>
              <w:widowControl/>
              <w:kinsoku/>
              <w:overflowPunct/>
              <w:topLinePunct w:val="0"/>
              <w:autoSpaceDE/>
              <w:autoSpaceDN/>
              <w:bidi w:val="0"/>
              <w:adjustRightInd w:val="0"/>
              <w:snapToGrid w:val="0"/>
              <w:spacing w:after="0" w:afterLines="0"/>
              <w:ind w:left="0" w:leftChars="0" w:firstLine="0" w:firstLineChars="0"/>
              <w:textAlignment w:val="auto"/>
              <w:rPr>
                <w:rFonts w:hint="default" w:ascii="Times New Roman" w:hAnsi="Times New Roman" w:cs="Times New Roman"/>
                <w:color w:val="auto"/>
                <w:sz w:val="21"/>
                <w:szCs w:val="21"/>
                <w:highlight w:val="none"/>
              </w:rPr>
            </w:pPr>
          </w:p>
          <w:p>
            <w:pPr>
              <w:keepNext w:val="0"/>
              <w:keepLines w:val="0"/>
              <w:pageBreakBefore w:val="0"/>
              <w:widowControl/>
              <w:kinsoku/>
              <w:overflowPunct/>
              <w:topLinePunct w:val="0"/>
              <w:autoSpaceDE/>
              <w:autoSpaceDN/>
              <w:bidi w:val="0"/>
              <w:adjustRightInd w:val="0"/>
              <w:snapToGrid w:val="0"/>
              <w:spacing w:after="0" w:afterLines="0" w:line="360" w:lineRule="exact"/>
              <w:textAlignment w:val="auto"/>
              <w:rPr>
                <w:rFonts w:hint="default" w:ascii="Times New Roman" w:hAnsi="Times New Roman" w:eastAsia="方正仿宋_GBK" w:cs="Times New Roman"/>
                <w:color w:val="auto"/>
                <w:sz w:val="21"/>
                <w:szCs w:val="21"/>
                <w:highlight w:val="none"/>
                <w:u w:val="single"/>
              </w:rPr>
            </w:pPr>
          </w:p>
          <w:p>
            <w:pPr>
              <w:keepNext w:val="0"/>
              <w:keepLines w:val="0"/>
              <w:pageBreakBefore w:val="0"/>
              <w:widowControl/>
              <w:kinsoku/>
              <w:overflowPunct/>
              <w:topLinePunct w:val="0"/>
              <w:autoSpaceDE/>
              <w:autoSpaceDN/>
              <w:bidi w:val="0"/>
              <w:adjustRightInd w:val="0"/>
              <w:snapToGrid w:val="0"/>
              <w:spacing w:after="0" w:afterLines="0" w:line="360" w:lineRule="exact"/>
              <w:textAlignment w:val="auto"/>
              <w:rPr>
                <w:rFonts w:hint="default" w:ascii="Times New Roman" w:hAnsi="Times New Roman" w:eastAsia="方正仿宋_GBK" w:cs="Times New Roman"/>
                <w:color w:val="auto"/>
                <w:sz w:val="21"/>
                <w:szCs w:val="21"/>
                <w:highlight w:val="none"/>
                <w:u w:val="single"/>
              </w:rPr>
            </w:pPr>
          </w:p>
          <w:p>
            <w:pPr>
              <w:keepNext w:val="0"/>
              <w:keepLines w:val="0"/>
              <w:pageBreakBefore w:val="0"/>
              <w:widowControl/>
              <w:kinsoku/>
              <w:overflowPunct/>
              <w:topLinePunct w:val="0"/>
              <w:autoSpaceDE/>
              <w:autoSpaceDN/>
              <w:bidi w:val="0"/>
              <w:adjustRightInd w:val="0"/>
              <w:snapToGrid w:val="0"/>
              <w:spacing w:after="0" w:afterLines="0" w:line="360" w:lineRule="exact"/>
              <w:jc w:val="center"/>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竞买申请人（盖章）：</w:t>
            </w:r>
          </w:p>
          <w:p>
            <w:pPr>
              <w:keepNext w:val="0"/>
              <w:keepLines w:val="0"/>
              <w:pageBreakBefore w:val="0"/>
              <w:widowControl/>
              <w:kinsoku/>
              <w:overflowPunct/>
              <w:topLinePunct w:val="0"/>
              <w:autoSpaceDE/>
              <w:autoSpaceDN/>
              <w:bidi w:val="0"/>
              <w:adjustRightInd w:val="0"/>
              <w:snapToGrid w:val="0"/>
              <w:spacing w:after="0" w:afterLines="0" w:line="360" w:lineRule="exact"/>
              <w:jc w:val="center"/>
              <w:textAlignment w:val="auto"/>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法人代表或授权代理人（签名）：</w:t>
            </w:r>
          </w:p>
          <w:p>
            <w:pPr>
              <w:keepNext w:val="0"/>
              <w:keepLines w:val="0"/>
              <w:pageBreakBefore w:val="0"/>
              <w:widowControl/>
              <w:kinsoku/>
              <w:overflowPunct/>
              <w:topLinePunct w:val="0"/>
              <w:autoSpaceDE/>
              <w:autoSpaceDN/>
              <w:bidi w:val="0"/>
              <w:adjustRightInd w:val="0"/>
              <w:snapToGrid w:val="0"/>
              <w:spacing w:after="0" w:afterLines="0" w:line="360" w:lineRule="exact"/>
              <w:jc w:val="center"/>
              <w:textAlignment w:val="auto"/>
              <w:rPr>
                <w:rFonts w:hint="default" w:ascii="Times New Roman" w:hAnsi="Times New Roman" w:eastAsia="方正仿宋_GBK" w:cs="Times New Roman"/>
                <w:color w:val="auto"/>
                <w:sz w:val="21"/>
                <w:szCs w:val="21"/>
                <w:highlight w:val="none"/>
              </w:rPr>
            </w:pPr>
          </w:p>
          <w:p>
            <w:pPr>
              <w:pStyle w:val="2"/>
              <w:keepNext w:val="0"/>
              <w:keepLines w:val="0"/>
              <w:pageBreakBefore w:val="0"/>
              <w:widowControl/>
              <w:kinsoku/>
              <w:overflowPunct/>
              <w:topLinePunct w:val="0"/>
              <w:autoSpaceDE/>
              <w:autoSpaceDN/>
              <w:bidi w:val="0"/>
              <w:adjustRightInd w:val="0"/>
              <w:snapToGrid w:val="0"/>
              <w:spacing w:after="0" w:afterLines="0"/>
              <w:textAlignment w:val="auto"/>
              <w:rPr>
                <w:rFonts w:hint="default" w:ascii="Times New Roman" w:hAnsi="Times New Roman" w:cs="Times New Roman"/>
                <w:color w:val="auto"/>
                <w:sz w:val="21"/>
                <w:szCs w:val="21"/>
                <w:highlight w:val="none"/>
              </w:rPr>
            </w:pPr>
          </w:p>
          <w:p>
            <w:pPr>
              <w:keepNext w:val="0"/>
              <w:keepLines w:val="0"/>
              <w:pageBreakBefore w:val="0"/>
              <w:widowControl/>
              <w:kinsoku/>
              <w:wordWrap w:val="0"/>
              <w:overflowPunct/>
              <w:topLinePunct w:val="0"/>
              <w:autoSpaceDE/>
              <w:autoSpaceDN/>
              <w:bidi w:val="0"/>
              <w:adjustRightInd w:val="0"/>
              <w:snapToGrid w:val="0"/>
              <w:spacing w:after="0" w:afterLines="0" w:line="360" w:lineRule="exact"/>
              <w:ind w:right="800" w:rightChars="250"/>
              <w:jc w:val="right"/>
              <w:textAlignment w:val="auto"/>
              <w:rPr>
                <w:rFonts w:hint="default" w:ascii="Times New Roman" w:hAnsi="Times New Roman" w:eastAsia="方正仿宋_GBK" w:cs="Times New Roman"/>
                <w:color w:val="auto"/>
                <w:sz w:val="22"/>
                <w:szCs w:val="22"/>
                <w:highlight w:val="none"/>
              </w:rPr>
            </w:pPr>
            <w:r>
              <w:rPr>
                <w:rFonts w:hint="default" w:ascii="Times New Roman" w:hAnsi="Times New Roman" w:eastAsia="方正仿宋_GBK" w:cs="Times New Roman"/>
                <w:color w:val="auto"/>
                <w:sz w:val="21"/>
                <w:szCs w:val="21"/>
                <w:highlight w:val="none"/>
              </w:rPr>
              <w:t>年</w:t>
            </w:r>
            <w:r>
              <w:rPr>
                <w:rFonts w:hint="default" w:ascii="Times New Roman" w:hAnsi="Times New Roman" w:eastAsia="方正仿宋_GBK" w:cs="Times New Roman"/>
                <w:color w:val="auto"/>
                <w:sz w:val="21"/>
                <w:szCs w:val="21"/>
                <w:highlight w:val="none"/>
                <w:lang w:val="en-US" w:eastAsia="zh-CN"/>
              </w:rPr>
              <w:t xml:space="preserve">   </w:t>
            </w:r>
            <w:r>
              <w:rPr>
                <w:rFonts w:hint="default" w:ascii="Times New Roman" w:hAnsi="Times New Roman" w:eastAsia="方正仿宋_GBK" w:cs="Times New Roman"/>
                <w:color w:val="auto"/>
                <w:sz w:val="21"/>
                <w:szCs w:val="21"/>
                <w:highlight w:val="none"/>
              </w:rPr>
              <w:t>月</w:t>
            </w:r>
            <w:r>
              <w:rPr>
                <w:rFonts w:hint="default" w:ascii="Times New Roman" w:hAnsi="Times New Roman" w:eastAsia="方正仿宋_GBK" w:cs="Times New Roman"/>
                <w:color w:val="auto"/>
                <w:sz w:val="21"/>
                <w:szCs w:val="21"/>
                <w:highlight w:val="none"/>
                <w:lang w:val="en-US" w:eastAsia="zh-CN"/>
              </w:rPr>
              <w:t xml:space="preserve">   </w:t>
            </w:r>
            <w:r>
              <w:rPr>
                <w:rFonts w:hint="default" w:ascii="Times New Roman" w:hAnsi="Times New Roman" w:eastAsia="方正仿宋_GBK" w:cs="Times New Roman"/>
                <w:color w:val="auto"/>
                <w:sz w:val="21"/>
                <w:szCs w:val="21"/>
                <w:highlight w:val="none"/>
              </w:rPr>
              <w:t>日</w:t>
            </w:r>
          </w:p>
        </w:tc>
      </w:tr>
    </w:tbl>
    <w:p>
      <w:pPr>
        <w:rPr>
          <w:rFonts w:hint="default" w:ascii="Times New Roman" w:hAnsi="Times New Roman" w:cs="Times New Roman"/>
          <w:color w:val="auto"/>
          <w:lang w:val="en-US" w:eastAsia="zh-CN"/>
        </w:rPr>
      </w:pPr>
    </w:p>
    <w:sectPr>
      <w:headerReference r:id="rId3" w:type="default"/>
      <w:footerReference r:id="rId4" w:type="default"/>
      <w:pgSz w:w="11906" w:h="16838"/>
      <w:pgMar w:top="2098" w:right="1474" w:bottom="1984" w:left="1587" w:header="851" w:footer="1417" w:gutter="0"/>
      <w:pgNumType w:fmt="decimal"/>
      <w:cols w:space="0" w:num="1"/>
      <w:rtlGutter w:val="0"/>
      <w:docGrid w:type="lines" w:linePitch="4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39" w:line="20" w:lineRule="exact"/>
      <w:ind w:firstLine="69"/>
      <w:textAlignment w:val="center"/>
    </w:pPr>
    <w:r>
      <w:rPr>
        <w:sz w:val="2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GmCS9MAAAAFAQAADwAAAAAAAAABACAAAAAiAAAAZHJzL2Rvd25yZXYueG1sUEsBAhQAFAAA&#10;AAgAh07iQHKL0s+7AQAAWQMAAA4AAAAAAAAAAQAgAAAAIgEAAGRycy9lMm9Eb2MueG1sUEsFBgAA&#10;AAAGAAYAWQEAAE8FAAAAAA==&#10;">
              <v:fill on="f" focussize="0,0"/>
              <v:stroke on="f" weight="1.25pt"/>
              <v:imagedata o:title=""/>
              <o:lock v:ext="edit" aspectratio="f"/>
              <v:textbox inset="0mm,0mm,0mm,0mm" style="mso-fit-shape-to-text:t;">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 w:lineRule="exact"/>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3"/>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25"/>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792085"/>
    <w:rsid w:val="00080241"/>
    <w:rsid w:val="000B4986"/>
    <w:rsid w:val="002D5B5E"/>
    <w:rsid w:val="003C083A"/>
    <w:rsid w:val="00774F22"/>
    <w:rsid w:val="00792085"/>
    <w:rsid w:val="008D3DCB"/>
    <w:rsid w:val="009A3F89"/>
    <w:rsid w:val="00A15E37"/>
    <w:rsid w:val="00A2301C"/>
    <w:rsid w:val="00B061E0"/>
    <w:rsid w:val="00B30A52"/>
    <w:rsid w:val="00D10F63"/>
    <w:rsid w:val="00D80872"/>
    <w:rsid w:val="00E574AF"/>
    <w:rsid w:val="00EC5AFE"/>
    <w:rsid w:val="00FF6AA0"/>
    <w:rsid w:val="01B42FCD"/>
    <w:rsid w:val="02A6381A"/>
    <w:rsid w:val="030E0B5E"/>
    <w:rsid w:val="04806673"/>
    <w:rsid w:val="0617489C"/>
    <w:rsid w:val="062F1D5A"/>
    <w:rsid w:val="084F200F"/>
    <w:rsid w:val="0A7E105D"/>
    <w:rsid w:val="0C6D5A7F"/>
    <w:rsid w:val="0CAC22F2"/>
    <w:rsid w:val="10BB3EC3"/>
    <w:rsid w:val="11055925"/>
    <w:rsid w:val="144A1028"/>
    <w:rsid w:val="146D047C"/>
    <w:rsid w:val="14B2359C"/>
    <w:rsid w:val="18101BF6"/>
    <w:rsid w:val="18A420CF"/>
    <w:rsid w:val="198E2934"/>
    <w:rsid w:val="1AA32180"/>
    <w:rsid w:val="1D0638A8"/>
    <w:rsid w:val="1DC77670"/>
    <w:rsid w:val="1DE1515A"/>
    <w:rsid w:val="1E1525FB"/>
    <w:rsid w:val="1E5E7BD5"/>
    <w:rsid w:val="1EF70975"/>
    <w:rsid w:val="1F77603D"/>
    <w:rsid w:val="1F9F5C2C"/>
    <w:rsid w:val="200E3BE0"/>
    <w:rsid w:val="209E2429"/>
    <w:rsid w:val="24745472"/>
    <w:rsid w:val="252F0833"/>
    <w:rsid w:val="26264E8C"/>
    <w:rsid w:val="272F1227"/>
    <w:rsid w:val="27DB66B4"/>
    <w:rsid w:val="285C758D"/>
    <w:rsid w:val="28C45BC2"/>
    <w:rsid w:val="29405948"/>
    <w:rsid w:val="29E4149B"/>
    <w:rsid w:val="2BA20D10"/>
    <w:rsid w:val="2BAC4B43"/>
    <w:rsid w:val="2BAE111D"/>
    <w:rsid w:val="2BEA1FAD"/>
    <w:rsid w:val="2C912ADC"/>
    <w:rsid w:val="2DBA6372"/>
    <w:rsid w:val="2ED81005"/>
    <w:rsid w:val="304510E8"/>
    <w:rsid w:val="3106021B"/>
    <w:rsid w:val="321B4A41"/>
    <w:rsid w:val="340C5AAE"/>
    <w:rsid w:val="35541AF6"/>
    <w:rsid w:val="355D56CF"/>
    <w:rsid w:val="368F2A60"/>
    <w:rsid w:val="36CF03AD"/>
    <w:rsid w:val="37203817"/>
    <w:rsid w:val="37502912"/>
    <w:rsid w:val="38305C04"/>
    <w:rsid w:val="3AD273C0"/>
    <w:rsid w:val="3BB15227"/>
    <w:rsid w:val="3C02163D"/>
    <w:rsid w:val="3C32449F"/>
    <w:rsid w:val="3CC058F8"/>
    <w:rsid w:val="3DFF1D67"/>
    <w:rsid w:val="3E2A6958"/>
    <w:rsid w:val="410D1874"/>
    <w:rsid w:val="419C5A98"/>
    <w:rsid w:val="41E51071"/>
    <w:rsid w:val="41F10A4E"/>
    <w:rsid w:val="42E6704E"/>
    <w:rsid w:val="44285348"/>
    <w:rsid w:val="446C03CA"/>
    <w:rsid w:val="453D4441"/>
    <w:rsid w:val="45542B14"/>
    <w:rsid w:val="464C46BC"/>
    <w:rsid w:val="483C7AC7"/>
    <w:rsid w:val="494B3FD9"/>
    <w:rsid w:val="4A24425D"/>
    <w:rsid w:val="4AE012B5"/>
    <w:rsid w:val="4B6157F9"/>
    <w:rsid w:val="4CEB2A07"/>
    <w:rsid w:val="4E0921D7"/>
    <w:rsid w:val="4E357B68"/>
    <w:rsid w:val="4E711B03"/>
    <w:rsid w:val="4F5144B5"/>
    <w:rsid w:val="5038249C"/>
    <w:rsid w:val="50DC7555"/>
    <w:rsid w:val="512405B2"/>
    <w:rsid w:val="539B0F99"/>
    <w:rsid w:val="542868C6"/>
    <w:rsid w:val="54D547A1"/>
    <w:rsid w:val="55967510"/>
    <w:rsid w:val="564231F4"/>
    <w:rsid w:val="565F29FC"/>
    <w:rsid w:val="56A6674C"/>
    <w:rsid w:val="56F7071E"/>
    <w:rsid w:val="573268FA"/>
    <w:rsid w:val="59EB4B02"/>
    <w:rsid w:val="5A47277F"/>
    <w:rsid w:val="5A487FC7"/>
    <w:rsid w:val="5B191058"/>
    <w:rsid w:val="5B5E37F9"/>
    <w:rsid w:val="5B600943"/>
    <w:rsid w:val="5BED0B62"/>
    <w:rsid w:val="5C351DDB"/>
    <w:rsid w:val="5CD16A83"/>
    <w:rsid w:val="5D982578"/>
    <w:rsid w:val="5DD27EFD"/>
    <w:rsid w:val="5F37579F"/>
    <w:rsid w:val="60730489"/>
    <w:rsid w:val="60815071"/>
    <w:rsid w:val="60D73778"/>
    <w:rsid w:val="63F84A67"/>
    <w:rsid w:val="665C629A"/>
    <w:rsid w:val="67834150"/>
    <w:rsid w:val="69452A48"/>
    <w:rsid w:val="6A95076A"/>
    <w:rsid w:val="6AF43F93"/>
    <w:rsid w:val="6F387FED"/>
    <w:rsid w:val="705A7690"/>
    <w:rsid w:val="70764F3C"/>
    <w:rsid w:val="713A1D59"/>
    <w:rsid w:val="714D5A31"/>
    <w:rsid w:val="71B9729C"/>
    <w:rsid w:val="73671392"/>
    <w:rsid w:val="737A7FAC"/>
    <w:rsid w:val="73EE4029"/>
    <w:rsid w:val="74633669"/>
    <w:rsid w:val="746C1781"/>
    <w:rsid w:val="74FE0FC9"/>
    <w:rsid w:val="75A017C3"/>
    <w:rsid w:val="76BB4586"/>
    <w:rsid w:val="76CA7DBE"/>
    <w:rsid w:val="790F0C1E"/>
    <w:rsid w:val="791824FB"/>
    <w:rsid w:val="7ACC1139"/>
    <w:rsid w:val="7D2F5D70"/>
    <w:rsid w:val="7DBA3D00"/>
    <w:rsid w:val="7E57104E"/>
    <w:rsid w:val="7FA245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3">
    <w:name w:val="heading 4"/>
    <w:basedOn w:val="1"/>
    <w:next w:val="1"/>
    <w:unhideWhenUsed/>
    <w:qFormat/>
    <w:uiPriority w:val="0"/>
    <w:pPr>
      <w:numPr>
        <w:ilvl w:val="3"/>
        <w:numId w:val="1"/>
      </w:numPr>
      <w:outlineLvl w:val="3"/>
    </w:pPr>
    <w:rPr>
      <w:rFonts w:ascii="方正仿宋_GBK" w:hAnsi="方正仿宋_GBK" w:eastAsia="方正仿宋_GBK"/>
      <w:bCs/>
      <w:sz w:val="32"/>
      <w:szCs w:val="32"/>
      <w:lang w:val="zh-CN"/>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Body Text"/>
    <w:basedOn w:val="1"/>
    <w:next w:val="1"/>
    <w:qFormat/>
    <w:uiPriority w:val="0"/>
    <w:rPr>
      <w:rFonts w:eastAsia="仿宋_GB2312"/>
      <w:szCs w:val="24"/>
    </w:rPr>
  </w:style>
  <w:style w:type="paragraph" w:styleId="5">
    <w:name w:val="footer"/>
    <w:basedOn w:val="1"/>
    <w:link w:val="12"/>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4"/>
    <w:qFormat/>
    <w:uiPriority w:val="0"/>
    <w:pPr>
      <w:spacing w:after="160"/>
      <w:ind w:firstLine="420" w:firstLineChars="100"/>
    </w:p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p17"/>
    <w:basedOn w:val="1"/>
    <w:qFormat/>
    <w:uiPriority w:val="0"/>
    <w:pPr>
      <w:widowControl/>
      <w:snapToGrid w:val="0"/>
      <w:jc w:val="left"/>
    </w:pPr>
    <w:rPr>
      <w:rFonts w:ascii="Times New Roman" w:hAnsi="Times New Roman" w:eastAsia="宋体" w:cs="Times New Roman"/>
      <w:color w:val="000000"/>
      <w:kern w:val="0"/>
      <w:sz w:val="24"/>
      <w:szCs w:val="24"/>
    </w:rPr>
  </w:style>
  <w:style w:type="paragraph" w:customStyle="1" w:styleId="14">
    <w:name w:val="报告正文"/>
    <w:basedOn w:val="8"/>
    <w:qFormat/>
    <w:uiPriority w:val="0"/>
    <w:pPr>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36</Pages>
  <Words>11532</Words>
  <Characters>12332</Characters>
  <Lines>1</Lines>
  <Paragraphs>1</Paragraphs>
  <TotalTime>31</TotalTime>
  <ScaleCrop>false</ScaleCrop>
  <LinksUpToDate>false</LinksUpToDate>
  <CharactersWithSpaces>12475</CharactersWithSpaces>
  <Application>WPS Office_11.8.2.9093_F1E327BC-269C-435d-A152-05C5408002CA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2024-07-22T02:26:00Z</dcterms:created>
  <dc:creator>hp</dc:creator>
  <cp:lastModifiedBy>地质矿产科</cp:lastModifiedBy>
  <cp:lastPrinted>2025-05-29T09:56:32Z</cp:lastPrinted>
  <dcterms:modified xsi:type="dcterms:W3CDTF">2025-05-29T09:56:38Z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2052-11.8.2.9093</vt:lpwstr>
  </property>
  <property fmtid="{D5CDD505-2E9C-101B-9397-08002B2CF9AE}" pid="3" name="ICV">
    <vt:lpwstr>47DE74D0B6A14A6A821AC148EF3FFEA9_13</vt:lpwstr>
  </property>
  <property fmtid="{D5CDD505-2E9C-101B-9397-08002B2CF9AE}" pid="4" name="KSOTemplateDocerSaveRecord">
    <vt:lpwstr>eyJoZGlkIjoiNTMzZTRiNTZjNmQ4M2JjNGU3YzY0YzFjYzBiOTgxMDIiLCJ1c2VySWQiOiI2MTA2NTY0NTEifQ==</vt:lpwstr>
  </property>
</Properties>
</file>