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方正仿宋_GBK" w:cs="Times New Roman"/>
          <w:sz w:val="32"/>
          <w:szCs w:val="32"/>
        </w:rPr>
      </w:pPr>
    </w:p>
    <w:p>
      <w:pPr>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方正仿宋_GBK" w:cs="Times New Roman"/>
          <w:sz w:val="32"/>
          <w:szCs w:val="32"/>
        </w:rPr>
      </w:pPr>
    </w:p>
    <w:p>
      <w:pPr>
        <w:pageBreakBefore w:val="0"/>
        <w:widowControl/>
        <w:kinsoku/>
        <w:wordWrap/>
        <w:overflowPunct/>
        <w:topLinePunct w:val="0"/>
        <w:autoSpaceDE/>
        <w:autoSpaceDN/>
        <w:bidi w:val="0"/>
        <w:adjustRightInd w:val="0"/>
        <w:snapToGrid w:val="0"/>
        <w:spacing w:line="580" w:lineRule="exact"/>
        <w:ind w:firstLine="880" w:firstLineChars="200"/>
        <w:jc w:val="lef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重庆市规划和自然资源局关于印发</w:t>
      </w:r>
    </w:p>
    <w:p>
      <w:pPr>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重庆市矿业权出让基准价（2020年版）的</w:t>
      </w:r>
    </w:p>
    <w:p>
      <w:pPr>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通知</w:t>
      </w:r>
    </w:p>
    <w:p>
      <w:pPr>
        <w:snapToGrid w:val="0"/>
        <w:spacing w:line="600" w:lineRule="exact"/>
        <w:ind w:firstLine="64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渝规资规范〔2020〕14号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Cs w:val="21"/>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各区县（自治县）规划自然资源局，局属有关单位，机关有关处室，有关单位：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《重庆市矿业权出让基准价（2020年版）》已经市政府同意，现印发给你们，请遵照执行。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一、《重庆市矿业权出让基准价（2020年版）》自印发之日起施行。《关于印发重庆市矿业权出让基准价的通知》（渝规资规范〔2019〕31号）同时废止。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二、《重庆市矿业权出让基准价（2020年版）》施行后，矿业权评估价值低于基准价的，以招标拍卖挂牌方式出让尚未成交的，以协议方式出让尚未签订合同的，应当重新开展评估确定起始价、成交价。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napToGrid w:val="0"/>
          <w:kern w:val="0"/>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615" w:rightChars="293"/>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重庆市规划和自然资源局</w:t>
      </w:r>
    </w:p>
    <w:p>
      <w:pPr>
        <w:adjustRightInd w:val="0"/>
        <w:snapToGrid w:val="0"/>
        <w:spacing w:line="58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2020年11月26日</w:t>
      </w:r>
    </w:p>
    <w:p>
      <w:pPr>
        <w:snapToGrid w:val="0"/>
        <w:spacing w:line="540" w:lineRule="exact"/>
        <w:jc w:val="center"/>
        <w:rPr>
          <w:rFonts w:hint="default" w:ascii="Times New Roman" w:hAnsi="Times New Roman" w:eastAsia="方正小标宋_GBK" w:cs="Times New Roman"/>
          <w:sz w:val="44"/>
          <w:szCs w:val="44"/>
        </w:rPr>
      </w:pPr>
    </w:p>
    <w:p>
      <w:pPr>
        <w:snapToGrid w:val="0"/>
        <w:spacing w:line="540" w:lineRule="exact"/>
        <w:jc w:val="center"/>
        <w:rPr>
          <w:rFonts w:hint="default" w:ascii="Times New Roman" w:hAnsi="Times New Roman" w:eastAsia="方正小标宋_GBK" w:cs="Times New Roman"/>
          <w:sz w:val="44"/>
          <w:szCs w:val="44"/>
        </w:rPr>
      </w:pPr>
    </w:p>
    <w:p>
      <w:pPr>
        <w:snapToGrid w:val="0"/>
        <w:spacing w:line="540" w:lineRule="exact"/>
        <w:jc w:val="center"/>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重庆市矿业权出让基准价</w:t>
      </w:r>
    </w:p>
    <w:p>
      <w:pPr>
        <w:keepNext w:val="0"/>
        <w:keepLines w:val="0"/>
        <w:spacing w:before="0" w:after="0" w:line="600" w:lineRule="exact"/>
        <w:jc w:val="center"/>
        <w:rPr>
          <w:rFonts w:hint="default" w:ascii="Times New Roman" w:hAnsi="Times New Roman" w:eastAsia="方正黑体_GBK" w:cs="Times New Roman"/>
          <w:b/>
        </w:rPr>
      </w:pPr>
      <w:r>
        <w:rPr>
          <w:rFonts w:hint="default" w:ascii="Times New Roman" w:hAnsi="Times New Roman" w:eastAsia="方正仿宋_GBK" w:cs="Times New Roman"/>
          <w:kern w:val="0"/>
          <w:sz w:val="32"/>
          <w:szCs w:val="32"/>
        </w:rPr>
        <w:t>（2020年版）</w:t>
      </w:r>
    </w:p>
    <w:p>
      <w:pPr>
        <w:pStyle w:val="3"/>
        <w:keepNext w:val="0"/>
        <w:keepLines w:val="0"/>
        <w:widowControl/>
        <w:adjustRightInd w:val="0"/>
        <w:snapToGrid w:val="0"/>
        <w:spacing w:before="0" w:after="0" w:line="60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表1</w:t>
      </w:r>
    </w:p>
    <w:p>
      <w:pPr>
        <w:pStyle w:val="3"/>
        <w:keepNext w:val="0"/>
        <w:keepLines w:val="0"/>
        <w:spacing w:before="0" w:after="0" w:line="600" w:lineRule="exact"/>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rPr>
        <w:t>采矿权出让基准价</w:t>
      </w:r>
    </w:p>
    <w:p>
      <w:pPr>
        <w:rPr>
          <w:rFonts w:hint="default" w:ascii="Times New Roman" w:hAnsi="Times New Roman" w:cs="Times New Roman"/>
        </w:rPr>
      </w:pPr>
    </w:p>
    <w:tbl>
      <w:tblPr>
        <w:tblStyle w:val="11"/>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41"/>
        <w:gridCol w:w="2414"/>
        <w:gridCol w:w="1896"/>
        <w:gridCol w:w="992"/>
        <w:gridCol w:w="95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4" w:type="dxa"/>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3455" w:type="dxa"/>
            <w:gridSpan w:val="2"/>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矿种</w:t>
            </w:r>
          </w:p>
        </w:tc>
        <w:tc>
          <w:tcPr>
            <w:tcW w:w="1896" w:type="dxa"/>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w:t>
            </w:r>
          </w:p>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（资源量）</w:t>
            </w:r>
          </w:p>
        </w:tc>
        <w:tc>
          <w:tcPr>
            <w:tcW w:w="2943" w:type="dxa"/>
            <w:gridSpan w:val="3"/>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4" w:type="dxa"/>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3455" w:type="dxa"/>
            <w:gridSpan w:val="2"/>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1896" w:type="dxa"/>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992" w:type="dxa"/>
            <w:vAlign w:val="center"/>
          </w:tcPr>
          <w:p>
            <w:pPr>
              <w:widowControl/>
              <w:adjustRightInd w:val="0"/>
              <w:snapToGrid w:val="0"/>
              <w:spacing w:line="36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主城都市区</w:t>
            </w:r>
          </w:p>
        </w:tc>
        <w:tc>
          <w:tcPr>
            <w:tcW w:w="955" w:type="dxa"/>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渝东北</w:t>
            </w:r>
          </w:p>
        </w:tc>
        <w:tc>
          <w:tcPr>
            <w:tcW w:w="996" w:type="dxa"/>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煤</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焦煤、1/3焦煤</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其他煤类</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地热</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铁</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锰</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Mn≥25%</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20%≤Mn＜25%</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15%≤Mn＜20%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7.40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Mn＜15%</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5.00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铅锌</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(Pb+Zn)≥20%</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10%≤(Pb+Zn)＜20%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(Pb+Zn)＜10%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铝土矿</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锶</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SrSO4＋SrCO3≥50%</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SrSO4＋SrCO3＜50%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硫铁矿</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S≥35%</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S＜35%</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石膏</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重晶石</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BaSO</w:t>
            </w:r>
            <w:r>
              <w:rPr>
                <w:rFonts w:hint="default" w:ascii="Times New Roman" w:hAnsi="Times New Roman" w:eastAsia="方正仿宋_GBK" w:cs="Times New Roman"/>
                <w:kern w:val="0"/>
                <w:szCs w:val="21"/>
                <w:vertAlign w:val="subscript"/>
              </w:rPr>
              <w:t>4</w:t>
            </w:r>
            <w:r>
              <w:rPr>
                <w:rFonts w:hint="default" w:ascii="Times New Roman" w:hAnsi="Times New Roman" w:eastAsia="方正仿宋_GBK" w:cs="Times New Roman"/>
                <w:kern w:val="0"/>
                <w:szCs w:val="21"/>
              </w:rPr>
              <w:t>≥90%</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80%≤BaSO</w:t>
            </w:r>
            <w:r>
              <w:rPr>
                <w:rFonts w:hint="default" w:ascii="Times New Roman" w:hAnsi="Times New Roman" w:eastAsia="方正仿宋_GBK" w:cs="Times New Roman"/>
                <w:kern w:val="0"/>
                <w:szCs w:val="21"/>
                <w:vertAlign w:val="subscript"/>
              </w:rPr>
              <w:t>4</w:t>
            </w:r>
            <w:r>
              <w:rPr>
                <w:rFonts w:hint="default" w:ascii="Times New Roman" w:hAnsi="Times New Roman" w:eastAsia="方正仿宋_GBK" w:cs="Times New Roman"/>
                <w:kern w:val="0"/>
                <w:szCs w:val="21"/>
              </w:rPr>
              <w:t>＜90%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70%≤BaSO</w:t>
            </w:r>
            <w:r>
              <w:rPr>
                <w:rFonts w:hint="default" w:ascii="Times New Roman" w:hAnsi="Times New Roman" w:eastAsia="方正仿宋_GBK" w:cs="Times New Roman"/>
                <w:kern w:val="0"/>
                <w:szCs w:val="21"/>
                <w:vertAlign w:val="subscript"/>
              </w:rPr>
              <w:t>4</w:t>
            </w:r>
            <w:r>
              <w:rPr>
                <w:rFonts w:hint="default" w:ascii="Times New Roman" w:hAnsi="Times New Roman" w:eastAsia="方正仿宋_GBK" w:cs="Times New Roman"/>
                <w:kern w:val="0"/>
                <w:szCs w:val="21"/>
              </w:rPr>
              <w:t>＜80%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BaSO</w:t>
            </w:r>
            <w:r>
              <w:rPr>
                <w:rFonts w:hint="default" w:ascii="Times New Roman" w:hAnsi="Times New Roman" w:eastAsia="方正仿宋_GBK" w:cs="Times New Roman"/>
                <w:kern w:val="0"/>
                <w:szCs w:val="21"/>
                <w:vertAlign w:val="subscript"/>
              </w:rPr>
              <w:t>4</w:t>
            </w:r>
            <w:r>
              <w:rPr>
                <w:rFonts w:hint="default" w:ascii="Times New Roman" w:hAnsi="Times New Roman" w:eastAsia="方正仿宋_GBK" w:cs="Times New Roman"/>
                <w:kern w:val="0"/>
                <w:szCs w:val="21"/>
              </w:rPr>
              <w:t>＜70%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毒重石</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BaCO</w:t>
            </w:r>
            <w:r>
              <w:rPr>
                <w:rFonts w:hint="default" w:ascii="Times New Roman" w:hAnsi="Times New Roman" w:eastAsia="方正仿宋_GBK" w:cs="Times New Roman"/>
                <w:kern w:val="0"/>
                <w:szCs w:val="21"/>
                <w:vertAlign w:val="subscript"/>
              </w:rPr>
              <w:t>3</w:t>
            </w:r>
            <w:r>
              <w:rPr>
                <w:rFonts w:hint="default" w:ascii="Times New Roman" w:hAnsi="Times New Roman" w:eastAsia="方正仿宋_GBK" w:cs="Times New Roman"/>
                <w:kern w:val="0"/>
                <w:szCs w:val="21"/>
              </w:rPr>
              <w:t>≥60%</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45%≤BaCO</w:t>
            </w:r>
            <w:r>
              <w:rPr>
                <w:rFonts w:hint="default" w:ascii="Times New Roman" w:hAnsi="Times New Roman" w:eastAsia="方正仿宋_GBK" w:cs="Times New Roman"/>
                <w:kern w:val="0"/>
                <w:szCs w:val="21"/>
                <w:vertAlign w:val="subscript"/>
              </w:rPr>
              <w:t>3</w:t>
            </w:r>
            <w:r>
              <w:rPr>
                <w:rFonts w:hint="default" w:ascii="Times New Roman" w:hAnsi="Times New Roman" w:eastAsia="方正仿宋_GBK" w:cs="Times New Roman"/>
                <w:kern w:val="0"/>
                <w:szCs w:val="21"/>
              </w:rPr>
              <w:t>＜60%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BaCO</w:t>
            </w:r>
            <w:r>
              <w:rPr>
                <w:rFonts w:hint="default" w:ascii="Times New Roman" w:hAnsi="Times New Roman" w:eastAsia="方正仿宋_GBK" w:cs="Times New Roman"/>
                <w:kern w:val="0"/>
                <w:szCs w:val="21"/>
                <w:vertAlign w:val="subscript"/>
              </w:rPr>
              <w:t>3</w:t>
            </w:r>
            <w:r>
              <w:rPr>
                <w:rFonts w:hint="default" w:ascii="Times New Roman" w:hAnsi="Times New Roman" w:eastAsia="方正仿宋_GBK" w:cs="Times New Roman"/>
                <w:kern w:val="0"/>
                <w:szCs w:val="21"/>
              </w:rPr>
              <w:t>＜45%</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方解石</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萤石（普通）</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CaF</w:t>
            </w:r>
            <w:r>
              <w:rPr>
                <w:rFonts w:hint="default" w:ascii="Times New Roman" w:hAnsi="Times New Roman" w:eastAsia="方正仿宋_GBK" w:cs="Times New Roman"/>
                <w:kern w:val="0"/>
                <w:szCs w:val="21"/>
                <w:vertAlign w:val="subscript"/>
              </w:rPr>
              <w:t>2</w:t>
            </w:r>
            <w:r>
              <w:rPr>
                <w:rFonts w:hint="default" w:ascii="Times New Roman" w:hAnsi="Times New Roman" w:eastAsia="方正仿宋_GBK" w:cs="Times New Roman"/>
                <w:kern w:val="0"/>
                <w:szCs w:val="21"/>
              </w:rPr>
              <w:t>≥70%</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60%≤CaF</w:t>
            </w:r>
            <w:r>
              <w:rPr>
                <w:rFonts w:hint="default" w:ascii="Times New Roman" w:hAnsi="Times New Roman" w:eastAsia="方正仿宋_GBK" w:cs="Times New Roman"/>
                <w:kern w:val="0"/>
                <w:szCs w:val="21"/>
                <w:vertAlign w:val="subscript"/>
              </w:rPr>
              <w:t>2</w:t>
            </w:r>
            <w:r>
              <w:rPr>
                <w:rFonts w:hint="default" w:ascii="Times New Roman" w:hAnsi="Times New Roman" w:eastAsia="方正仿宋_GBK" w:cs="Times New Roman"/>
                <w:kern w:val="0"/>
                <w:szCs w:val="21"/>
              </w:rPr>
              <w:t>＜70%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50%≤CaF</w:t>
            </w:r>
            <w:r>
              <w:rPr>
                <w:rFonts w:hint="default" w:ascii="Times New Roman" w:hAnsi="Times New Roman" w:eastAsia="方正仿宋_GBK" w:cs="Times New Roman"/>
                <w:kern w:val="0"/>
                <w:szCs w:val="21"/>
                <w:vertAlign w:val="subscript"/>
              </w:rPr>
              <w:t>2</w:t>
            </w:r>
            <w:r>
              <w:rPr>
                <w:rFonts w:hint="default" w:ascii="Times New Roman" w:hAnsi="Times New Roman" w:eastAsia="方正仿宋_GBK" w:cs="Times New Roman"/>
                <w:kern w:val="0"/>
                <w:szCs w:val="21"/>
              </w:rPr>
              <w:t>＜60%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40%≤CaF</w:t>
            </w:r>
            <w:r>
              <w:rPr>
                <w:rFonts w:hint="default" w:ascii="Times New Roman" w:hAnsi="Times New Roman" w:eastAsia="方正仿宋_GBK" w:cs="Times New Roman"/>
                <w:kern w:val="0"/>
                <w:szCs w:val="21"/>
                <w:vertAlign w:val="subscript"/>
              </w:rPr>
              <w:t>2</w:t>
            </w:r>
            <w:r>
              <w:rPr>
                <w:rFonts w:hint="default" w:ascii="Times New Roman" w:hAnsi="Times New Roman" w:eastAsia="方正仿宋_GBK" w:cs="Times New Roman"/>
                <w:kern w:val="0"/>
                <w:szCs w:val="21"/>
              </w:rPr>
              <w:t>＜50%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CaF</w:t>
            </w:r>
            <w:r>
              <w:rPr>
                <w:rFonts w:hint="default" w:ascii="Times New Roman" w:hAnsi="Times New Roman" w:eastAsia="方正仿宋_GBK" w:cs="Times New Roman"/>
                <w:kern w:val="0"/>
                <w:szCs w:val="21"/>
                <w:vertAlign w:val="subscript"/>
              </w:rPr>
              <w:t>2</w:t>
            </w:r>
            <w:r>
              <w:rPr>
                <w:rFonts w:hint="default" w:ascii="Times New Roman" w:hAnsi="Times New Roman" w:eastAsia="方正仿宋_GBK" w:cs="Times New Roman"/>
                <w:kern w:val="0"/>
                <w:szCs w:val="21"/>
              </w:rPr>
              <w:t>＜40%</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石灰岩</w:t>
            </w:r>
          </w:p>
        </w:tc>
        <w:tc>
          <w:tcPr>
            <w:tcW w:w="2414" w:type="dxa"/>
            <w:vAlign w:val="center"/>
          </w:tcPr>
          <w:p>
            <w:pPr>
              <w:widowControl/>
              <w:adjustRightInd w:val="0"/>
              <w:snapToGrid w:val="0"/>
              <w:spacing w:line="36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电石用、化肥用、熔剂用、玻璃用、制灰用、水泥用、建筑石料用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3.20</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白云岩</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冶金用、化肥用、玻璃用、建筑用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砂岩</w:t>
            </w:r>
          </w:p>
        </w:tc>
        <w:tc>
          <w:tcPr>
            <w:tcW w:w="2414" w:type="dxa"/>
            <w:vAlign w:val="center"/>
          </w:tcPr>
          <w:p>
            <w:pPr>
              <w:widowControl/>
              <w:adjustRightInd w:val="0"/>
              <w:snapToGrid w:val="0"/>
              <w:spacing w:line="36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冶金用、玻璃用、铸型用、陶瓷用、耐火用、水泥配料用、建筑用、砖瓦用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99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2.20</w:t>
            </w:r>
          </w:p>
        </w:tc>
        <w:tc>
          <w:tcPr>
            <w:tcW w:w="9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w:t>
            </w:r>
          </w:p>
        </w:tc>
        <w:tc>
          <w:tcPr>
            <w:tcW w:w="1041"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页岩</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陶粒用</w:t>
            </w:r>
          </w:p>
        </w:tc>
        <w:tc>
          <w:tcPr>
            <w:tcW w:w="1896"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1041"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砖瓦用、水泥配料用</w:t>
            </w:r>
          </w:p>
        </w:tc>
        <w:tc>
          <w:tcPr>
            <w:tcW w:w="1896"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高岭土</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陶瓷土</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粘土</w:t>
            </w:r>
          </w:p>
        </w:tc>
        <w:tc>
          <w:tcPr>
            <w:tcW w:w="2414" w:type="dxa"/>
            <w:vAlign w:val="center"/>
          </w:tcPr>
          <w:p>
            <w:pPr>
              <w:widowControl/>
              <w:adjustRightInd w:val="0"/>
              <w:snapToGrid w:val="0"/>
              <w:spacing w:line="36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耐火粘土、凹凸棒石粘土、海泡石粘土、伊利石粘土、保温材料粘土</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岩盐</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w:t>
            </w:r>
          </w:p>
        </w:tc>
        <w:tc>
          <w:tcPr>
            <w:tcW w:w="1041"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矿泉水</w:t>
            </w:r>
          </w:p>
        </w:tc>
        <w:tc>
          <w:tcPr>
            <w:tcW w:w="241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89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w:t>
            </w:r>
          </w:p>
        </w:tc>
        <w:tc>
          <w:tcPr>
            <w:tcW w:w="2943"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3.45</w:t>
            </w:r>
          </w:p>
        </w:tc>
      </w:tr>
    </w:tbl>
    <w:p>
      <w:pPr>
        <w:widowControl/>
        <w:adjustRightInd w:val="0"/>
        <w:snapToGrid w:val="0"/>
        <w:spacing w:line="360" w:lineRule="exact"/>
        <w:jc w:val="both"/>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备注：1.本表中的固体矿产以矿区范围内资源量（含推断资源量、控制资源量、探明资源量）为准，地热、矿泉水以允许开采量为准；2.矿石品位以矿区内矿石平均品位为准；3.本表中主城都市区：包含涪陵区、渝中区、大渡口区、江北区、沙坪坝区、九龙坡区、南岸区、北碚区、渝北区、巴南区、长寿区、江津区、合川区、永川区、南川区、綦江区、大足区、铜梁区、璧山区、潼南区、荣昌区、两江新区、重庆高新区、万盛经开区；渝东北：包含万州区、开州区、梁平区、城口县、丰都县、忠县、垫江县、云阳县、奉节县、巫山县、巫溪县；渝东南：包含黔江区、武隆区、石柱县、秀山县、酉阳县、彭水县；4.本表中未分品位的矿种按表中数值确定单位基准价；分品位的矿种，按矿区内矿石平均品位利用插入法确定单位基准价，低于最低品级下限品位的矿石单位基准价按矿种最低品级单位基准价确定</w:t>
      </w:r>
    </w:p>
    <w:p>
      <w:pPr>
        <w:pStyle w:val="2"/>
        <w:rPr>
          <w:rFonts w:hint="default" w:ascii="Times New Roman" w:hAnsi="Times New Roman" w:eastAsia="方正仿宋_GBK" w:cs="Times New Roman"/>
          <w:kern w:val="0"/>
          <w:szCs w:val="21"/>
        </w:rPr>
      </w:pPr>
    </w:p>
    <w:p>
      <w:pPr>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rPr>
          <w:rFonts w:hint="default" w:ascii="Times New Roman" w:hAnsi="Times New Roman" w:eastAsia="方正仿宋_GBK" w:cs="Times New Roman"/>
          <w:kern w:val="0"/>
          <w:szCs w:val="21"/>
        </w:rPr>
      </w:pPr>
    </w:p>
    <w:p>
      <w:pPr>
        <w:pStyle w:val="2"/>
        <w:rPr>
          <w:rFonts w:hint="default"/>
        </w:rPr>
      </w:pPr>
    </w:p>
    <w:p>
      <w:pPr>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rPr>
          <w:rFonts w:hint="default" w:ascii="Times New Roman" w:hAnsi="Times New Roman" w:eastAsia="方正仿宋_GBK" w:cs="Times New Roman"/>
          <w:kern w:val="0"/>
          <w:szCs w:val="21"/>
        </w:rPr>
      </w:pPr>
    </w:p>
    <w:p>
      <w:pPr>
        <w:pStyle w:val="2"/>
        <w:rPr>
          <w:rFonts w:hint="default" w:ascii="Times New Roman" w:hAnsi="Times New Roman" w:eastAsia="方正仿宋_GBK" w:cs="Times New Roman"/>
          <w:kern w:val="0"/>
          <w:szCs w:val="21"/>
        </w:rPr>
      </w:pPr>
    </w:p>
    <w:p>
      <w:pPr>
        <w:rPr>
          <w:rFonts w:hint="default"/>
        </w:rPr>
      </w:pPr>
    </w:p>
    <w:p>
      <w:pPr>
        <w:rPr>
          <w:rFonts w:hint="default" w:ascii="Times New Roman" w:hAnsi="Times New Roman" w:eastAsia="方正仿宋_GBK" w:cs="Times New Roman"/>
          <w:kern w:val="0"/>
          <w:szCs w:val="21"/>
        </w:rPr>
      </w:pPr>
    </w:p>
    <w:p>
      <w:pPr>
        <w:pStyle w:val="3"/>
        <w:widowControl/>
        <w:adjustRightInd w:val="0"/>
        <w:snapToGrid w:val="0"/>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表2</w:t>
      </w:r>
    </w:p>
    <w:p>
      <w:pPr>
        <w:pStyle w:val="3"/>
        <w:keepNext w:val="0"/>
        <w:keepLines w:val="0"/>
        <w:snapToGrid w:val="0"/>
        <w:spacing w:before="0" w:after="0"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探矿权出让基准价</w:t>
      </w:r>
    </w:p>
    <w:p>
      <w:pPr>
        <w:pStyle w:val="3"/>
        <w:keepNext w:val="0"/>
        <w:keepLines w:val="0"/>
        <w:snapToGrid w:val="0"/>
        <w:spacing w:before="0" w:after="0"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（固体矿产）</w:t>
      </w:r>
    </w:p>
    <w:p>
      <w:pPr>
        <w:rPr>
          <w:rFonts w:hint="default" w:ascii="Times New Roman" w:hAnsi="Times New Roman" w:cs="Times New Roman"/>
        </w:rPr>
      </w:pPr>
    </w:p>
    <w:tbl>
      <w:tblPr>
        <w:tblStyle w:val="11"/>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55"/>
        <w:gridCol w:w="2509"/>
        <w:gridCol w:w="1904"/>
        <w:gridCol w:w="1072"/>
        <w:gridCol w:w="886"/>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765" w:type="dxa"/>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序号</w:t>
            </w:r>
          </w:p>
        </w:tc>
        <w:tc>
          <w:tcPr>
            <w:tcW w:w="3464" w:type="dxa"/>
            <w:gridSpan w:val="2"/>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矿种</w:t>
            </w:r>
          </w:p>
        </w:tc>
        <w:tc>
          <w:tcPr>
            <w:tcW w:w="1904" w:type="dxa"/>
            <w:vMerge w:val="restart"/>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w:t>
            </w:r>
          </w:p>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w:t>
            </w:r>
          </w:p>
        </w:tc>
        <w:tc>
          <w:tcPr>
            <w:tcW w:w="2880" w:type="dxa"/>
            <w:gridSpan w:val="3"/>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5" w:type="dxa"/>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3464" w:type="dxa"/>
            <w:gridSpan w:val="2"/>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1904" w:type="dxa"/>
            <w:vMerge w:val="continue"/>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p>
        </w:tc>
        <w:tc>
          <w:tcPr>
            <w:tcW w:w="1072" w:type="dxa"/>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主城</w:t>
            </w:r>
          </w:p>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都市区</w:t>
            </w:r>
          </w:p>
        </w:tc>
        <w:tc>
          <w:tcPr>
            <w:tcW w:w="886" w:type="dxa"/>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渝东北</w:t>
            </w:r>
          </w:p>
        </w:tc>
        <w:tc>
          <w:tcPr>
            <w:tcW w:w="922" w:type="dxa"/>
            <w:vAlign w:val="center"/>
          </w:tcPr>
          <w:p>
            <w:pPr>
              <w:widowControl/>
              <w:adjustRightInd w:val="0"/>
              <w:snapToGrid w:val="0"/>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95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煤</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焦煤、1/3焦煤</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5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其他煤类</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铁</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锰</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107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88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5.55</w:t>
            </w:r>
          </w:p>
        </w:tc>
        <w:tc>
          <w:tcPr>
            <w:tcW w:w="92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铅锌</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铝土矿</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锶</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7</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硫铁矿</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石膏</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重晶石</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毒重石</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方解石</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萤石（普通）</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w:t>
            </w:r>
          </w:p>
        </w:tc>
        <w:tc>
          <w:tcPr>
            <w:tcW w:w="95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石灰岩</w:t>
            </w:r>
          </w:p>
        </w:tc>
        <w:tc>
          <w:tcPr>
            <w:tcW w:w="2509" w:type="dxa"/>
            <w:vAlign w:val="center"/>
          </w:tcPr>
          <w:p>
            <w:pPr>
              <w:widowControl/>
              <w:adjustRightInd w:val="0"/>
              <w:snapToGrid w:val="0"/>
              <w:spacing w:line="40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电石用、化肥用、熔剂用、玻璃用、制灰用、水泥用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107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3.20</w:t>
            </w:r>
          </w:p>
        </w:tc>
        <w:tc>
          <w:tcPr>
            <w:tcW w:w="88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92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5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w:t>
            </w:r>
          </w:p>
        </w:tc>
        <w:tc>
          <w:tcPr>
            <w:tcW w:w="95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白云岩</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冶金用、化肥用、玻璃用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107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88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2.20</w:t>
            </w:r>
          </w:p>
        </w:tc>
        <w:tc>
          <w:tcPr>
            <w:tcW w:w="92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5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95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砂岩</w:t>
            </w:r>
          </w:p>
        </w:tc>
        <w:tc>
          <w:tcPr>
            <w:tcW w:w="2509" w:type="dxa"/>
            <w:vAlign w:val="center"/>
          </w:tcPr>
          <w:p>
            <w:pPr>
              <w:widowControl/>
              <w:adjustRightInd w:val="0"/>
              <w:snapToGri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冶金用、玻璃用、铸型用、陶瓷用、耐火用、水泥配料用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107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2.60</w:t>
            </w:r>
          </w:p>
        </w:tc>
        <w:tc>
          <w:tcPr>
            <w:tcW w:w="886"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2.20</w:t>
            </w:r>
          </w:p>
        </w:tc>
        <w:tc>
          <w:tcPr>
            <w:tcW w:w="922"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5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饰面用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元/立方米•矿石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w:t>
            </w:r>
          </w:p>
        </w:tc>
        <w:tc>
          <w:tcPr>
            <w:tcW w:w="955"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页岩</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陶粒用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955"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水泥配料用</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17</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高岭土</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18</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陶瓷土</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19</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粘土</w:t>
            </w:r>
          </w:p>
        </w:tc>
        <w:tc>
          <w:tcPr>
            <w:tcW w:w="2509" w:type="dxa"/>
            <w:vAlign w:val="center"/>
          </w:tcPr>
          <w:p>
            <w:pPr>
              <w:widowControl/>
              <w:adjustRightInd w:val="0"/>
              <w:snapToGrid w:val="0"/>
              <w:spacing w:line="40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耐火粘土、凹凸棒石粘土、海泡石粘土、伊利石粘土、保温材料粘土</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w:t>
            </w:r>
          </w:p>
        </w:tc>
        <w:tc>
          <w:tcPr>
            <w:tcW w:w="955"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岩盐</w:t>
            </w:r>
          </w:p>
        </w:tc>
        <w:tc>
          <w:tcPr>
            <w:tcW w:w="2509"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1904"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元/吨•矿石</w:t>
            </w:r>
          </w:p>
        </w:tc>
        <w:tc>
          <w:tcPr>
            <w:tcW w:w="2880" w:type="dxa"/>
            <w:gridSpan w:val="3"/>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0.60</w:t>
            </w:r>
          </w:p>
        </w:tc>
      </w:tr>
    </w:tbl>
    <w:p>
      <w:pPr>
        <w:widowControl/>
        <w:adjustRightInd w:val="0"/>
        <w:snapToGrid w:val="0"/>
        <w:spacing w:line="60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备注：本表中的矿产资源包含查明矿产资源和潜在矿产资源</w:t>
      </w: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pStyle w:val="3"/>
        <w:keepNext w:val="0"/>
        <w:keepLines w:val="0"/>
        <w:snapToGrid w:val="0"/>
        <w:spacing w:before="0" w:after="0" w:line="600" w:lineRule="exact"/>
        <w:rPr>
          <w:rFonts w:hint="default" w:ascii="Times New Roman" w:hAnsi="Times New Roman" w:eastAsia="方正黑体_GBK" w:cs="Times New Roman"/>
          <w:b w:val="0"/>
        </w:rPr>
      </w:pPr>
    </w:p>
    <w:p>
      <w:pPr>
        <w:pStyle w:val="3"/>
        <w:keepNext w:val="0"/>
        <w:keepLines w:val="0"/>
        <w:snapToGrid w:val="0"/>
        <w:spacing w:before="0" w:after="0" w:line="600" w:lineRule="exact"/>
        <w:rPr>
          <w:rFonts w:hint="default" w:ascii="Times New Roman" w:hAnsi="Times New Roman" w:eastAsia="方正黑体_GBK" w:cs="Times New Roman"/>
          <w:b w:val="0"/>
        </w:rPr>
      </w:pPr>
      <w:r>
        <w:rPr>
          <w:rFonts w:hint="default" w:ascii="Times New Roman" w:hAnsi="Times New Roman" w:eastAsia="方正黑体_GBK" w:cs="Times New Roman"/>
          <w:b w:val="0"/>
        </w:rPr>
        <w:t>表3</w:t>
      </w:r>
    </w:p>
    <w:p>
      <w:pPr>
        <w:pStyle w:val="3"/>
        <w:keepNext w:val="0"/>
        <w:keepLines w:val="0"/>
        <w:snapToGrid w:val="0"/>
        <w:spacing w:before="0" w:after="0"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探矿权出让基准价</w:t>
      </w:r>
    </w:p>
    <w:p>
      <w:pPr>
        <w:pStyle w:val="3"/>
        <w:keepNext w:val="0"/>
        <w:keepLines w:val="0"/>
        <w:snapToGrid w:val="0"/>
        <w:spacing w:before="0" w:after="0" w:line="6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（液体矿产）</w:t>
      </w:r>
    </w:p>
    <w:p>
      <w:pPr>
        <w:rPr>
          <w:rFonts w:hint="default" w:ascii="Times New Roman" w:hAnsi="Times New Roman" w:cs="Times New Roman"/>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20" w:type="dxa"/>
            <w:vMerge w:val="restart"/>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矿种</w:t>
            </w:r>
          </w:p>
        </w:tc>
        <w:tc>
          <w:tcPr>
            <w:tcW w:w="6040" w:type="dxa"/>
            <w:gridSpan w:val="2"/>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单位基准价（万元/宗）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20" w:type="dxa"/>
            <w:vMerge w:val="continue"/>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p>
        </w:tc>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主城都市区</w:t>
            </w:r>
          </w:p>
        </w:tc>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渝东北、渝东南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地热（沉积地层型）</w:t>
            </w:r>
          </w:p>
        </w:tc>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300</w:t>
            </w:r>
          </w:p>
        </w:tc>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20" w:type="dxa"/>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矿泉水</w:t>
            </w:r>
          </w:p>
        </w:tc>
        <w:tc>
          <w:tcPr>
            <w:tcW w:w="6040" w:type="dxa"/>
            <w:gridSpan w:val="2"/>
            <w:vAlign w:val="center"/>
          </w:tcPr>
          <w:p>
            <w:pPr>
              <w:widowControl/>
              <w:adjustRightInd w:val="0"/>
              <w:snapToGrid w:val="0"/>
              <w:spacing w:line="6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80</w:t>
            </w:r>
          </w:p>
        </w:tc>
      </w:tr>
    </w:tbl>
    <w:p>
      <w:pPr>
        <w:widowControl/>
        <w:adjustRightInd w:val="0"/>
        <w:snapToGrid w:val="0"/>
        <w:spacing w:line="60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备注：本表中单位基准价按照单宗不超过5平方公里、成井一口、探采合计年限15年测算</w:t>
      </w:r>
    </w:p>
    <w:p>
      <w:pPr>
        <w:snapToGrid w:val="0"/>
        <w:spacing w:line="600" w:lineRule="exact"/>
        <w:rPr>
          <w:rFonts w:hint="default" w:ascii="Times New Roman" w:hAnsi="Times New Roman" w:eastAsia="方正仿宋_GBK" w:cs="Times New Roman"/>
          <w:szCs w:val="21"/>
        </w:rPr>
      </w:pPr>
    </w:p>
    <w:p>
      <w:pPr>
        <w:pStyle w:val="2"/>
        <w:rPr>
          <w:rFonts w:hint="default"/>
        </w:rPr>
      </w:pPr>
    </w:p>
    <w:p>
      <w:pPr>
        <w:tabs>
          <w:tab w:val="left" w:pos="7104"/>
        </w:tabs>
        <w:rPr>
          <w:rFonts w:hint="eastAsia" w:eastAsiaTheme="minorEastAsia"/>
          <w:lang w:eastAsia="zh-CN"/>
        </w:rPr>
      </w:pPr>
      <w:r>
        <w:rPr>
          <w:rFonts w:hint="eastAsia"/>
          <w:lang w:eastAsia="zh-CN"/>
        </w:rPr>
        <w:tab/>
      </w:r>
    </w:p>
    <w:p>
      <w:pPr>
        <w:pStyle w:val="2"/>
        <w:tabs>
          <w:tab w:val="left" w:pos="4779"/>
        </w:tabs>
        <w:rPr>
          <w:rFonts w:hint="eastAsia" w:eastAsiaTheme="minorEastAsia"/>
          <w:lang w:eastAsia="zh-CN"/>
        </w:rPr>
      </w:pPr>
      <w:r>
        <w:rPr>
          <w:rFonts w:hint="eastAsia"/>
          <w:lang w:eastAsia="zh-CN"/>
        </w:rPr>
        <w:tab/>
      </w:r>
    </w:p>
    <w:p>
      <w:pPr>
        <w:snapToGrid w:val="0"/>
        <w:spacing w:line="540" w:lineRule="exact"/>
        <w:jc w:val="center"/>
        <w:rPr>
          <w:rFonts w:hint="default" w:ascii="Times New Roman" w:hAnsi="Times New Roman" w:eastAsia="方正小标宋_GBK" w:cs="Times New Roman"/>
          <w:sz w:val="44"/>
          <w:szCs w:val="44"/>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ind w:firstLine="640" w:firstLineChars="200"/>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《重庆市矿业权出让基准价（2020年版）》</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使用说明</w:t>
      </w:r>
    </w:p>
    <w:p>
      <w:pPr>
        <w:spacing w:line="60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仿宋_GBK" w:cs="Times New Roman"/>
          <w:sz w:val="32"/>
          <w:szCs w:val="32"/>
        </w:rPr>
        <w:t>本基准价适用于本市行政区域内非油气、非放射性矿业权出让登记的有偿处置。</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仿宋_GBK" w:cs="Times New Roman"/>
          <w:sz w:val="32"/>
          <w:szCs w:val="32"/>
        </w:rPr>
        <w:t>以招标、拍卖、挂牌等竞争方式出让矿业权的，矿业权出让收益起始价不得低于矿业权出让基准价，矿业权出让收益按招标、拍卖、挂牌的结果确定；以协议方式出让矿业权的，矿业权出让收益按照评估价值、出让基准价就高确定。</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矿业权出让基准价测算公式：（一）固体矿产采矿权出让基准价=对应矿种采矿权基准价单价×拟出让采矿权矿区范围内资源量；（二）地热、矿泉水采矿权出让基准价=地热、矿泉水采矿权基准价单价×允许开采量（立方米/日）×出让年限（日数）；（三）固体矿产探矿权出让基准价=对应矿种探矿权基准价单价×拟出让探矿权范围内矿产资源。</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共伴生矿种，已发布基准价的，以矿区范围内资源量为准；未发布基准价的，以矿区范围内储量为准。</w:t>
      </w:r>
    </w:p>
    <w:p>
      <w:pPr>
        <w:keepNext w:val="0"/>
        <w:keepLines w:val="0"/>
        <w:pageBreakBefore w:val="0"/>
        <w:kinsoku/>
        <w:overflowPunct/>
        <w:topLinePunct w:val="0"/>
        <w:bidi w:val="0"/>
        <w:spacing w:line="580" w:lineRule="exact"/>
        <w:ind w:left="0" w:leftChars="0" w:right="0" w:rightChars="0" w:firstLine="960" w:firstLineChars="30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黑体_GBK" w:cs="Times New Roman"/>
          <w:sz w:val="32"/>
          <w:szCs w:val="32"/>
        </w:rPr>
        <w:t>五、</w:t>
      </w:r>
      <w:r>
        <w:rPr>
          <w:rFonts w:hint="default" w:ascii="Times New Roman" w:hAnsi="Times New Roman" w:eastAsia="方正仿宋_GBK" w:cs="Times New Roman"/>
          <w:sz w:val="32"/>
          <w:szCs w:val="32"/>
        </w:rPr>
        <w:t>《重庆市矿业权出让基准价（2020年版）》中未列矿种</w:t>
      </w:r>
      <w:r>
        <w:rPr>
          <w:rFonts w:hint="default" w:ascii="Times New Roman" w:hAnsi="Times New Roman" w:eastAsia="方正仿宋_GBK" w:cs="Times New Roman"/>
          <w:spacing w:val="-6"/>
          <w:sz w:val="32"/>
          <w:szCs w:val="32"/>
        </w:rPr>
        <w:t>的出让基准价，参照与该矿种工业用途相似矿种的出让基准价执行。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137160</wp:posOffset>
              </wp:positionV>
              <wp:extent cx="514413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0" y="0"/>
                        <a:ext cx="51441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0.8pt;height:0pt;width:405.05pt;z-index:251659264;mso-width-relative:page;mso-height-relative:page;" filled="f" stroked="t" coordsize="21600,21600" o:gfxdata="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i20hdIAAAAHAQAADwAAAAAAAAABACAAAAAiAAAAZHJzL2Rvd25y&#10;ZXYueG1sUEsBAhQAFAAAAAgAh07iQD+uLeHLAQAAZgMAAA4AAAAAAAAAAQAgAAAAIQEAAGRycy9l&#10;Mm9Eb2MueG1sUEsFBgAAAAAGAAYAWQEAAF4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71755</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65pt;height:0.65pt;width:404pt;z-index:251661312;mso-width-relative:page;mso-height-relative:page;" filled="f" stroked="t" coordsize="21600,21600" o:gfxdata="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VQNwdUAAAAGAQAADwAAAAAAAAABACAAAAAi&#10;AAAAZHJzL2Rvd25yZXYueG1sUEsBAhQAFAAAAAgAh07iQOM6pZTUAQAAcQMAAA4AAAAAAAAAAQAg&#10;AAAAJAEAAGRycy9lMm9Eb2MueG1sUEsFBgAAAAAGAAYAWQEAAGo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0A2F9E"/>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0FB31343"/>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8B16A8E"/>
    <w:rsid w:val="2BD85E98"/>
    <w:rsid w:val="2CC1059D"/>
    <w:rsid w:val="2DD05FE1"/>
    <w:rsid w:val="2EAE3447"/>
    <w:rsid w:val="2FDD1FA0"/>
    <w:rsid w:val="31A15F24"/>
    <w:rsid w:val="3309317A"/>
    <w:rsid w:val="34361A43"/>
    <w:rsid w:val="36FB1DF0"/>
    <w:rsid w:val="395347B5"/>
    <w:rsid w:val="39A232A0"/>
    <w:rsid w:val="39E745AA"/>
    <w:rsid w:val="3B5572EF"/>
    <w:rsid w:val="3B5A6BBB"/>
    <w:rsid w:val="3CA154E3"/>
    <w:rsid w:val="3CEF7033"/>
    <w:rsid w:val="3EDA13A6"/>
    <w:rsid w:val="3FF56C14"/>
    <w:rsid w:val="403D3821"/>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744260"/>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2200</Words>
  <Characters>2686</Characters>
  <Lines>1</Lines>
  <Paragraphs>1</Paragraphs>
  <TotalTime>2</TotalTime>
  <ScaleCrop>false</ScaleCrop>
  <LinksUpToDate>false</LinksUpToDate>
  <CharactersWithSpaces>2688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6F378553804F44008689EDAF1F8CB84C</vt:lpwstr>
  </property>
</Properties>
</file>