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293D1">
      <w:pPr>
        <w:widowControl w:val="0"/>
        <w:overflowPunct w:val="0"/>
        <w:snapToGrid w:val="0"/>
        <w:spacing w:before="0" w:beforeLines="0" w:after="0" w:afterLines="0" w:line="500" w:lineRule="exact"/>
        <w:ind w:firstLine="0" w:firstLineChars="0"/>
        <w:jc w:val="left"/>
        <w:rPr>
          <w:rFonts w:hint="eastAsia" w:ascii="Times New Roman" w:hAnsi="Times New Roman" w:eastAsia="方正仿宋_GBK" w:cs="方正仿宋_GBK"/>
          <w:snapToGrid w:val="0"/>
          <w:color w:val="auto"/>
          <w:kern w:val="0"/>
          <w:sz w:val="32"/>
          <w:szCs w:val="32"/>
          <w:highlight w:val="none"/>
          <w:lang w:eastAsia="zh-CN"/>
        </w:rPr>
      </w:pPr>
      <w:bookmarkStart w:id="0" w:name="_GoBack"/>
      <w:bookmarkEnd w:id="0"/>
    </w:p>
    <w:p w14:paraId="4E400731">
      <w:pPr>
        <w:pStyle w:val="2"/>
        <w:rPr>
          <w:rFonts w:hint="eastAsia"/>
          <w:lang w:eastAsia="zh-CN"/>
        </w:rPr>
      </w:pPr>
    </w:p>
    <w:p w14:paraId="03913604">
      <w:pPr>
        <w:overflowPunct w:val="0"/>
        <w:snapToGrid w:val="0"/>
        <w:spacing w:beforeLines="0" w:afterLines="0" w:line="594" w:lineRule="exact"/>
        <w:jc w:val="center"/>
        <w:rPr>
          <w:rFonts w:ascii="Times New Roman" w:hAnsi="Times New Roman" w:eastAsia="方正小标宋_GBK" w:cs="Times New Roman"/>
          <w:color w:val="auto"/>
          <w:sz w:val="44"/>
          <w:szCs w:val="44"/>
        </w:rPr>
      </w:pPr>
      <w:r>
        <w:rPr>
          <w:rFonts w:ascii="Times New Roman" w:hAnsi="Times New Roman" w:eastAsia="方正小标宋_GBK" w:cs="Times New Roman"/>
          <w:color w:val="auto"/>
          <w:sz w:val="44"/>
          <w:szCs w:val="44"/>
        </w:rPr>
        <w:t>重庆市规划和自然资源局</w:t>
      </w:r>
    </w:p>
    <w:p w14:paraId="578F0554">
      <w:pPr>
        <w:overflowPunct w:val="0"/>
        <w:adjustRightInd w:val="0"/>
        <w:snapToGrid w:val="0"/>
        <w:spacing w:beforeLines="0" w:afterLines="0" w:line="594" w:lineRule="exact"/>
        <w:jc w:val="center"/>
        <w:rPr>
          <w:rFonts w:hint="eastAsia" w:ascii="Times New Roman" w:hAnsi="Times New Roman" w:eastAsia="方正小标宋_GBK" w:cs="Times New Roman"/>
          <w:color w:val="auto"/>
          <w:sz w:val="44"/>
          <w:szCs w:val="44"/>
          <w:lang w:val="en-US" w:eastAsia="zh-CN"/>
        </w:rPr>
      </w:pPr>
      <w:r>
        <w:rPr>
          <w:rFonts w:ascii="Times New Roman" w:hAnsi="Times New Roman" w:eastAsia="方正小标宋_GBK" w:cs="Times New Roman"/>
          <w:color w:val="auto"/>
          <w:sz w:val="44"/>
          <w:szCs w:val="44"/>
        </w:rPr>
        <w:t>关于进一步</w:t>
      </w:r>
      <w:r>
        <w:rPr>
          <w:rFonts w:hint="eastAsia" w:ascii="Times New Roman" w:hAnsi="Times New Roman" w:eastAsia="方正小标宋_GBK" w:cs="Times New Roman"/>
          <w:color w:val="auto"/>
          <w:sz w:val="44"/>
          <w:szCs w:val="44"/>
          <w:lang w:val="en-US" w:eastAsia="zh-CN"/>
        </w:rPr>
        <w:t>加强</w:t>
      </w:r>
      <w:r>
        <w:rPr>
          <w:rFonts w:ascii="Times New Roman" w:hAnsi="Times New Roman" w:eastAsia="方正小标宋_GBK" w:cs="Times New Roman"/>
          <w:color w:val="auto"/>
          <w:sz w:val="44"/>
          <w:szCs w:val="44"/>
        </w:rPr>
        <w:t>矿产资源储量</w:t>
      </w:r>
      <w:r>
        <w:rPr>
          <w:rFonts w:hint="eastAsia" w:ascii="Times New Roman" w:hAnsi="Times New Roman" w:eastAsia="方正小标宋_GBK" w:cs="Times New Roman"/>
          <w:color w:val="auto"/>
          <w:sz w:val="44"/>
          <w:szCs w:val="44"/>
          <w:lang w:val="en-US" w:eastAsia="zh-CN"/>
        </w:rPr>
        <w:t>评审备案</w:t>
      </w:r>
    </w:p>
    <w:p w14:paraId="7BC7DDEB">
      <w:pPr>
        <w:overflowPunct w:val="0"/>
        <w:adjustRightInd w:val="0"/>
        <w:snapToGrid w:val="0"/>
        <w:spacing w:beforeLines="0" w:afterLines="0" w:line="594" w:lineRule="exact"/>
        <w:jc w:val="center"/>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lang w:val="en-US" w:eastAsia="zh-CN"/>
        </w:rPr>
        <w:t>监督工作</w:t>
      </w:r>
      <w:r>
        <w:rPr>
          <w:rFonts w:ascii="Times New Roman" w:hAnsi="Times New Roman" w:eastAsia="方正小标宋_GBK" w:cs="Times New Roman"/>
          <w:color w:val="auto"/>
          <w:sz w:val="44"/>
          <w:szCs w:val="44"/>
        </w:rPr>
        <w:t>的通知</w:t>
      </w:r>
    </w:p>
    <w:p w14:paraId="10521060">
      <w:pPr>
        <w:pStyle w:val="2"/>
        <w:jc w:val="center"/>
      </w:pPr>
      <w:r>
        <w:rPr>
          <w:rFonts w:hint="eastAsia" w:ascii="Times New Roman" w:hAnsi="Times New Roman" w:eastAsia="方正仿宋_GBK" w:cs="Times New Roman"/>
          <w:color w:val="auto"/>
          <w:kern w:val="0"/>
          <w:sz w:val="32"/>
          <w:szCs w:val="32"/>
          <w:lang w:eastAsia="zh-CN"/>
        </w:rPr>
        <w:t>渝规资规范</w:t>
      </w:r>
      <w:r>
        <w:rPr>
          <w:rFonts w:hint="eastAsia" w:ascii="Times New Roman" w:hAnsi="Times New Roman" w:eastAsia="方正仿宋_GBK" w:cs="Times New Roman"/>
          <w:color w:val="auto"/>
          <w:kern w:val="0"/>
          <w:sz w:val="32"/>
          <w:szCs w:val="32"/>
        </w:rPr>
        <w:t>〔202</w:t>
      </w:r>
      <w:r>
        <w:rPr>
          <w:rFonts w:hint="eastAsia" w:ascii="Times New Roman" w:hAnsi="Times New Roman" w:eastAsia="方正仿宋_GBK" w:cs="Times New Roman"/>
          <w:color w:val="auto"/>
          <w:kern w:val="0"/>
          <w:sz w:val="32"/>
          <w:szCs w:val="32"/>
          <w:lang w:val="en-US" w:eastAsia="zh-CN"/>
        </w:rPr>
        <w:t>4</w:t>
      </w:r>
      <w:r>
        <w:rPr>
          <w:rFonts w:hint="eastAsia" w:ascii="Times New Roman" w:hAnsi="Times New Roman" w:eastAsia="方正仿宋_GBK" w:cs="Times New Roman"/>
          <w:color w:val="auto"/>
          <w:kern w:val="0"/>
          <w:sz w:val="32"/>
          <w:szCs w:val="32"/>
        </w:rPr>
        <w:t>〕6号</w:t>
      </w:r>
    </w:p>
    <w:p w14:paraId="2A048879">
      <w:pPr>
        <w:pStyle w:val="14"/>
        <w:overflowPunct w:val="0"/>
        <w:autoSpaceDE/>
        <w:autoSpaceDN/>
        <w:snapToGrid w:val="0"/>
        <w:spacing w:beforeLines="0" w:afterLines="0" w:line="594" w:lineRule="exact"/>
        <w:rPr>
          <w:rFonts w:ascii="Times New Roman" w:hAnsi="Times New Roman" w:eastAsia="方正仿宋_GBK" w:cs="Times New Roman"/>
          <w:color w:val="auto"/>
          <w:kern w:val="2"/>
          <w:sz w:val="32"/>
          <w:szCs w:val="32"/>
        </w:rPr>
      </w:pPr>
    </w:p>
    <w:p w14:paraId="5F71AE59">
      <w:pPr>
        <w:pStyle w:val="14"/>
        <w:overflowPunct w:val="0"/>
        <w:autoSpaceDE/>
        <w:autoSpaceDN/>
        <w:adjustRightInd/>
        <w:snapToGrid w:val="0"/>
        <w:spacing w:beforeLines="0" w:afterLines="0" w:line="594" w:lineRule="exact"/>
        <w:rPr>
          <w:rFonts w:ascii="Times New Roman" w:hAnsi="Times New Roman" w:eastAsia="方正仿宋_GBK" w:cs="Times New Roman"/>
          <w:color w:val="auto"/>
          <w:kern w:val="2"/>
          <w:sz w:val="32"/>
          <w:szCs w:val="32"/>
        </w:rPr>
      </w:pPr>
      <w:r>
        <w:rPr>
          <w:rFonts w:ascii="Times New Roman" w:hAnsi="Times New Roman" w:eastAsia="方正仿宋_GBK" w:cs="Times New Roman"/>
          <w:color w:val="auto"/>
          <w:kern w:val="2"/>
          <w:sz w:val="32"/>
          <w:szCs w:val="32"/>
        </w:rPr>
        <w:t>各区县（自治县，含两江新区、西部科学城重庆高新区、万盛经开区）规划自然资源局，机关有关处室，局属有关单位：</w:t>
      </w:r>
    </w:p>
    <w:p w14:paraId="5230384B">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矿产资源储量是重要的基本国情国力数据，为维护矿产资源国家所有者权益和矿业权人合法权益，根据《自然资源部关于深化矿产资源管理改革若干事项的意见》（自然资规〔2023〕6号）</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方正仿宋_GBK"/>
          <w:color w:val="auto"/>
          <w:sz w:val="32"/>
          <w:szCs w:val="32"/>
          <w:lang w:val="en-US" w:eastAsia="zh-CN"/>
        </w:rPr>
        <w:t>《自然资源部办公厅关于矿产资源储量评审备案管理若干事项的通知》（自然资办发〔2020〕26号）、《自然资源部办公厅关于进一步规范矿产资源储量评审备案工作的通知》（自然资办函〔2020〕966号）</w:t>
      </w:r>
      <w:r>
        <w:rPr>
          <w:rFonts w:hint="eastAsia" w:ascii="Times New Roman" w:hAnsi="Times New Roman" w:eastAsia="方正仿宋_GBK" w:cs="Times New Roman"/>
          <w:color w:val="auto"/>
          <w:kern w:val="0"/>
          <w:sz w:val="32"/>
          <w:szCs w:val="32"/>
        </w:rPr>
        <w:t>等文件规定，结合我市实际，现就有关事项通知如下。</w:t>
      </w:r>
    </w:p>
    <w:p w14:paraId="30D26FE7">
      <w:pPr>
        <w:overflowPunct w:val="0"/>
        <w:snapToGrid w:val="0"/>
        <w:spacing w:beforeLines="0" w:afterLines="0" w:line="594" w:lineRule="exact"/>
        <w:ind w:firstLine="640" w:firstLineChars="200"/>
        <w:rPr>
          <w:rFonts w:hint="default" w:ascii="Times New Roman" w:hAnsi="Times New Roman" w:eastAsia="方正黑体_GBK" w:cs="方正黑体_GBK"/>
          <w:color w:val="auto"/>
          <w:kern w:val="0"/>
          <w:sz w:val="32"/>
          <w:szCs w:val="32"/>
          <w:lang w:val="en-US" w:eastAsia="zh-CN"/>
        </w:rPr>
      </w:pPr>
      <w:r>
        <w:rPr>
          <w:rFonts w:hint="eastAsia" w:ascii="Times New Roman" w:hAnsi="Times New Roman" w:eastAsia="方正黑体_GBK" w:cs="方正黑体_GBK"/>
          <w:color w:val="auto"/>
          <w:kern w:val="0"/>
          <w:sz w:val="32"/>
          <w:szCs w:val="32"/>
          <w:lang w:val="en-US" w:eastAsia="zh-CN"/>
        </w:rPr>
        <w:t>一、规范矿产资源储量相关地质工作</w:t>
      </w:r>
    </w:p>
    <w:p w14:paraId="1F42E85E">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val="en-US" w:eastAsia="zh-CN"/>
        </w:rPr>
        <w:t>一</w:t>
      </w: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val="en-US" w:eastAsia="zh-CN"/>
        </w:rPr>
        <w:t>矿业权人或勘查单位开展</w:t>
      </w:r>
      <w:r>
        <w:rPr>
          <w:rFonts w:hint="eastAsia" w:ascii="Times New Roman" w:hAnsi="Times New Roman" w:eastAsia="方正仿宋_GBK" w:cs="方正仿宋_GBK"/>
          <w:color w:val="auto"/>
          <w:kern w:val="2"/>
          <w:sz w:val="32"/>
          <w:szCs w:val="32"/>
          <w:lang w:val="en-US" w:eastAsia="zh-CN"/>
        </w:rPr>
        <w:t>矿产资源储量相关的地质工作</w:t>
      </w:r>
      <w:r>
        <w:rPr>
          <w:rFonts w:hint="eastAsia" w:ascii="Times New Roman" w:hAnsi="Times New Roman" w:eastAsia="方正仿宋_GBK" w:cs="Times New Roman"/>
          <w:color w:val="auto"/>
          <w:kern w:val="0"/>
          <w:sz w:val="32"/>
          <w:szCs w:val="32"/>
        </w:rPr>
        <w:t>应当遵循《固体矿产地质勘查规范总则》</w:t>
      </w:r>
      <w:r>
        <w:rPr>
          <w:rFonts w:hint="default" w:ascii="Times New Roman" w:hAnsi="Times New Roman" w:eastAsia="方正仿宋_GBK" w:cs="Times New Roman"/>
          <w:color w:val="auto"/>
          <w:kern w:val="0"/>
          <w:sz w:val="32"/>
          <w:szCs w:val="32"/>
          <w:lang w:eastAsia="zh-CN"/>
        </w:rPr>
        <w:t>（</w:t>
      </w:r>
      <w:r>
        <w:rPr>
          <w:rFonts w:hint="default" w:ascii="Times New Roman" w:hAnsi="Times New Roman" w:eastAsia="方正仿宋_GBK" w:cs="Times New Roman"/>
          <w:color w:val="auto"/>
          <w:kern w:val="0"/>
          <w:sz w:val="32"/>
          <w:szCs w:val="32"/>
          <w:lang w:val="en-US" w:eastAsia="zh-CN"/>
        </w:rPr>
        <w:t>GB/T 13908-2020</w:t>
      </w:r>
      <w:r>
        <w:rPr>
          <w:rFonts w:hint="default" w:ascii="Times New Roman" w:hAnsi="Times New Roman" w:eastAsia="方正仿宋_GBK" w:cs="Times New Roman"/>
          <w:color w:val="auto"/>
          <w:kern w:val="0"/>
          <w:sz w:val="32"/>
          <w:szCs w:val="32"/>
          <w:lang w:eastAsia="zh-CN"/>
        </w:rPr>
        <w:t>）</w:t>
      </w:r>
      <w:r>
        <w:rPr>
          <w:rFonts w:hint="eastAsia" w:eastAsia="方正仿宋_GBK" w:cs="Times New Roman"/>
          <w:color w:val="auto"/>
          <w:kern w:val="0"/>
          <w:sz w:val="32"/>
          <w:szCs w:val="32"/>
          <w:lang w:eastAsia="zh-CN"/>
        </w:rPr>
        <w:t>及相应矿种勘查规范</w:t>
      </w:r>
      <w:r>
        <w:rPr>
          <w:rFonts w:hint="eastAsia" w:ascii="Times New Roman" w:hAnsi="Times New Roman" w:eastAsia="方正仿宋_GBK" w:cs="Times New Roman"/>
          <w:color w:val="auto"/>
          <w:kern w:val="0"/>
          <w:sz w:val="32"/>
          <w:szCs w:val="32"/>
          <w:lang w:val="en-US" w:eastAsia="zh-CN"/>
        </w:rPr>
        <w:t>等，规范实施勘查工程、地质测量、样品采集、送检分析等工作，提高矿产资源储量数据的可靠性。</w:t>
      </w:r>
    </w:p>
    <w:p w14:paraId="37707595">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val="en-US" w:eastAsia="zh-CN"/>
        </w:rPr>
        <w:t>样品分析测试单位应当严格按照规范开展样品分析测试，严格执行实验室样品副样保存制度</w:t>
      </w:r>
      <w:r>
        <w:rPr>
          <w:rFonts w:hint="eastAsia" w:eastAsia="方正仿宋_GBK" w:cs="Times New Roman"/>
          <w:color w:val="auto"/>
          <w:kern w:val="0"/>
          <w:sz w:val="32"/>
          <w:szCs w:val="32"/>
          <w:lang w:val="en-US" w:eastAsia="zh-CN"/>
        </w:rPr>
        <w:t>，</w:t>
      </w:r>
      <w:r>
        <w:rPr>
          <w:rFonts w:hint="eastAsia" w:ascii="Times New Roman" w:hAnsi="Times New Roman" w:eastAsia="方正仿宋_GBK" w:cs="Times New Roman"/>
          <w:color w:val="auto"/>
          <w:kern w:val="0"/>
          <w:sz w:val="32"/>
          <w:szCs w:val="32"/>
          <w:lang w:val="en-US" w:eastAsia="zh-CN"/>
        </w:rPr>
        <w:t>并对分析测试数据真实性负责。</w:t>
      </w:r>
    </w:p>
    <w:p w14:paraId="05C2F8B5">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仿宋_GB2312" w:cs="仿宋_GB2312"/>
          <w:color w:val="auto"/>
          <w:sz w:val="32"/>
          <w:szCs w:val="32"/>
          <w:lang w:eastAsia="zh-CN"/>
        </w:rPr>
        <w:t>（</w:t>
      </w:r>
      <w:r>
        <w:rPr>
          <w:rFonts w:hint="eastAsia" w:ascii="Times New Roman" w:hAnsi="Times New Roman" w:eastAsia="仿宋_GB2312" w:cs="仿宋_GB2312"/>
          <w:color w:val="auto"/>
          <w:sz w:val="32"/>
          <w:szCs w:val="32"/>
          <w:lang w:val="en-US" w:eastAsia="zh-CN"/>
        </w:rPr>
        <w:t>二</w:t>
      </w:r>
      <w:r>
        <w:rPr>
          <w:rFonts w:hint="eastAsia" w:ascii="Times New Roman" w:hAnsi="Times New Roman" w:eastAsia="仿宋_GB2312" w:cs="仿宋_GB2312"/>
          <w:color w:val="auto"/>
          <w:sz w:val="32"/>
          <w:szCs w:val="32"/>
          <w:lang w:eastAsia="zh-CN"/>
        </w:rPr>
        <w:t>）</w:t>
      </w:r>
      <w:r>
        <w:rPr>
          <w:rFonts w:hint="eastAsia" w:ascii="Times New Roman" w:hAnsi="Times New Roman" w:eastAsia="方正仿宋_GBK" w:cs="Times New Roman"/>
          <w:color w:val="auto"/>
          <w:kern w:val="0"/>
          <w:sz w:val="32"/>
          <w:szCs w:val="32"/>
          <w:lang w:val="en-US" w:eastAsia="zh-CN"/>
        </w:rPr>
        <w:t>严格落实出让采矿权地质勘查程度要求。</w:t>
      </w:r>
      <w:r>
        <w:rPr>
          <w:rFonts w:hint="eastAsia" w:ascii="Times New Roman" w:hAnsi="Times New Roman" w:eastAsia="方正仿宋_GBK" w:cs="Times New Roman"/>
          <w:color w:val="auto"/>
          <w:kern w:val="0"/>
          <w:sz w:val="32"/>
          <w:szCs w:val="32"/>
          <w:lang w:eastAsia="zh-CN"/>
        </w:rPr>
        <w:t>资源储量规模为大型的非煤矿山、大中型煤矿应当达到勘探程度，其他矿山应当达到详查（含）以上程度。</w:t>
      </w:r>
      <w:r>
        <w:rPr>
          <w:rFonts w:hint="eastAsia" w:ascii="Times New Roman" w:hAnsi="Times New Roman" w:eastAsia="方正仿宋_GBK" w:cs="Times New Roman"/>
          <w:color w:val="auto"/>
          <w:kern w:val="0"/>
          <w:sz w:val="32"/>
          <w:szCs w:val="32"/>
          <w:lang w:val="en-US" w:eastAsia="zh-CN"/>
        </w:rPr>
        <w:t>采矿权扩大矿区范围的，扩大区域的地质勘查工作程度应当符合《自然资源部关于进一步完善矿产资源勘查开采登记管理的通知》（自然资规〔2023〕4号）有关规定。</w:t>
      </w:r>
    </w:p>
    <w:p w14:paraId="4C63FCAC">
      <w:pPr>
        <w:overflowPunct w:val="0"/>
        <w:snapToGrid w:val="0"/>
        <w:spacing w:beforeLines="0" w:afterLines="0" w:line="594" w:lineRule="exact"/>
        <w:ind w:firstLine="640" w:firstLineChars="200"/>
        <w:rPr>
          <w:rFonts w:hint="default" w:ascii="Times New Roman" w:hAnsi="Times New Roman" w:eastAsia="仿宋_GB2312" w:cs="仿宋_GB2312"/>
          <w:color w:val="auto"/>
          <w:sz w:val="32"/>
          <w:szCs w:val="32"/>
          <w:lang w:val="en-US"/>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三）</w:t>
      </w:r>
      <w:r>
        <w:rPr>
          <w:rFonts w:hint="eastAsia" w:eastAsia="方正仿宋_GBK" w:cs="Times New Roman"/>
          <w:color w:val="auto"/>
          <w:kern w:val="0"/>
          <w:sz w:val="32"/>
          <w:szCs w:val="32"/>
          <w:lang w:val="en-US" w:eastAsia="zh-CN"/>
        </w:rPr>
        <w:t>矿产资源</w:t>
      </w:r>
      <w:r>
        <w:rPr>
          <w:rFonts w:hint="eastAsia" w:ascii="Times New Roman" w:hAnsi="Times New Roman" w:eastAsia="方正仿宋_GBK" w:cs="Times New Roman"/>
          <w:color w:val="auto"/>
          <w:kern w:val="0"/>
          <w:sz w:val="32"/>
          <w:szCs w:val="32"/>
          <w:lang w:val="en-US" w:eastAsia="zh-CN"/>
        </w:rPr>
        <w:t>储量报告编制单位应当按照</w:t>
      </w:r>
      <w:r>
        <w:rPr>
          <w:rFonts w:hint="eastAsia" w:ascii="Times New Roman" w:hAnsi="Times New Roman" w:eastAsia="方正仿宋_GBK" w:cs="Times New Roman"/>
          <w:color w:val="auto"/>
          <w:kern w:val="0"/>
          <w:sz w:val="32"/>
          <w:szCs w:val="32"/>
        </w:rPr>
        <w:t>固体矿产资源储量核实报告编写</w:t>
      </w:r>
      <w:r>
        <w:rPr>
          <w:rFonts w:hint="eastAsia"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eastAsia="zh-CN"/>
        </w:rPr>
        <w:t>压覆矿产资源调查评估</w:t>
      </w:r>
      <w:r>
        <w:rPr>
          <w:rFonts w:hint="eastAsia" w:eastAsia="方正仿宋_GBK" w:cs="Times New Roman"/>
          <w:color w:val="auto"/>
          <w:kern w:val="0"/>
          <w:sz w:val="32"/>
          <w:szCs w:val="32"/>
          <w:lang w:eastAsia="zh-CN"/>
        </w:rPr>
        <w:t>相关</w:t>
      </w:r>
      <w:r>
        <w:rPr>
          <w:rFonts w:hint="eastAsia" w:ascii="Times New Roman" w:hAnsi="Times New Roman" w:eastAsia="方正仿宋_GBK" w:cs="Times New Roman"/>
          <w:color w:val="auto"/>
          <w:kern w:val="0"/>
          <w:sz w:val="32"/>
          <w:szCs w:val="32"/>
        </w:rPr>
        <w:t>标准</w:t>
      </w:r>
      <w:r>
        <w:rPr>
          <w:rFonts w:hint="eastAsia" w:ascii="Times New Roman" w:hAnsi="Times New Roman" w:eastAsia="方正仿宋_GBK" w:cs="Times New Roman"/>
          <w:color w:val="auto"/>
          <w:kern w:val="0"/>
          <w:sz w:val="32"/>
          <w:szCs w:val="32"/>
          <w:lang w:val="en-US" w:eastAsia="zh-CN"/>
        </w:rPr>
        <w:t>规范，在野外地质调查、</w:t>
      </w:r>
      <w:r>
        <w:rPr>
          <w:rFonts w:hint="eastAsia" w:ascii="Times New Roman" w:hAnsi="Times New Roman" w:eastAsia="方正仿宋_GBK" w:cs="Times New Roman"/>
          <w:color w:val="auto"/>
          <w:kern w:val="0"/>
          <w:sz w:val="32"/>
          <w:szCs w:val="32"/>
        </w:rPr>
        <w:t>样品分析测试</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工业指标论证</w:t>
      </w:r>
      <w:r>
        <w:rPr>
          <w:rFonts w:hint="eastAsia" w:ascii="Times New Roman" w:hAnsi="Times New Roman" w:eastAsia="方正仿宋_GBK" w:cs="Times New Roman"/>
          <w:color w:val="auto"/>
          <w:kern w:val="0"/>
          <w:sz w:val="32"/>
          <w:szCs w:val="32"/>
        </w:rPr>
        <w:t>及矿石加工技术性能研究</w:t>
      </w:r>
      <w:r>
        <w:rPr>
          <w:rFonts w:hint="eastAsia" w:ascii="Times New Roman" w:hAnsi="Times New Roman" w:eastAsia="方正仿宋_GBK" w:cs="Times New Roman"/>
          <w:color w:val="auto"/>
          <w:kern w:val="0"/>
          <w:sz w:val="32"/>
          <w:szCs w:val="32"/>
          <w:lang w:val="en-US" w:eastAsia="zh-CN"/>
        </w:rPr>
        <w:t>成果的基础上编制储量报告。储量核实报告内容应当包含矿山基本情况、矿区地质、矿体特征、矿石特征、矿石加工选冶技术性能、开采技术条件、矿山开采情况、探采对比、资源储量估算、资源储量变化及原因、结论与建议等内容。</w:t>
      </w:r>
      <w:r>
        <w:rPr>
          <w:rFonts w:hint="eastAsia" w:ascii="Times New Roman" w:hAnsi="Times New Roman" w:eastAsia="方正仿宋_GBK" w:cs="Times New Roman"/>
          <w:color w:val="auto"/>
          <w:kern w:val="0"/>
          <w:sz w:val="32"/>
          <w:szCs w:val="32"/>
          <w:lang w:eastAsia="zh-CN"/>
        </w:rPr>
        <w:t>压覆</w:t>
      </w:r>
      <w:r>
        <w:rPr>
          <w:rFonts w:hint="eastAsia" w:eastAsia="方正仿宋_GBK" w:cs="Times New Roman"/>
          <w:color w:val="auto"/>
          <w:kern w:val="0"/>
          <w:sz w:val="32"/>
          <w:szCs w:val="32"/>
          <w:lang w:eastAsia="zh-CN"/>
        </w:rPr>
        <w:t>重要</w:t>
      </w:r>
      <w:r>
        <w:rPr>
          <w:rFonts w:hint="eastAsia" w:ascii="Times New Roman" w:hAnsi="Times New Roman" w:eastAsia="方正仿宋_GBK" w:cs="Times New Roman"/>
          <w:color w:val="auto"/>
          <w:kern w:val="0"/>
          <w:sz w:val="32"/>
          <w:szCs w:val="32"/>
          <w:lang w:eastAsia="zh-CN"/>
        </w:rPr>
        <w:t>矿产资源</w:t>
      </w:r>
      <w:r>
        <w:rPr>
          <w:rFonts w:hint="eastAsia" w:eastAsia="方正仿宋_GBK" w:cs="Times New Roman"/>
          <w:color w:val="auto"/>
          <w:kern w:val="0"/>
          <w:sz w:val="32"/>
          <w:szCs w:val="32"/>
          <w:lang w:val="en-US" w:eastAsia="zh-CN"/>
        </w:rPr>
        <w:t>评估</w:t>
      </w:r>
      <w:r>
        <w:rPr>
          <w:rFonts w:hint="eastAsia" w:ascii="Times New Roman" w:hAnsi="Times New Roman" w:eastAsia="方正仿宋_GBK" w:cs="Times New Roman"/>
          <w:color w:val="auto"/>
          <w:kern w:val="0"/>
          <w:sz w:val="32"/>
          <w:szCs w:val="32"/>
          <w:lang w:val="en-US" w:eastAsia="zh-CN"/>
        </w:rPr>
        <w:t>报告应当包含压覆矿产资源调查、</w:t>
      </w:r>
      <w:r>
        <w:rPr>
          <w:rFonts w:hint="eastAsia" w:eastAsia="方正仿宋_GBK" w:cs="Times New Roman"/>
          <w:color w:val="auto"/>
          <w:kern w:val="0"/>
          <w:sz w:val="32"/>
          <w:szCs w:val="32"/>
          <w:lang w:val="en-US" w:eastAsia="zh-CN"/>
        </w:rPr>
        <w:t>不可避免性</w:t>
      </w:r>
      <w:r>
        <w:rPr>
          <w:rFonts w:hint="eastAsia" w:ascii="Times New Roman" w:hAnsi="Times New Roman" w:eastAsia="方正仿宋_GBK" w:cs="Times New Roman"/>
          <w:color w:val="auto"/>
          <w:kern w:val="0"/>
          <w:sz w:val="32"/>
          <w:szCs w:val="32"/>
          <w:lang w:val="en-US" w:eastAsia="zh-CN"/>
        </w:rPr>
        <w:t>论证、</w:t>
      </w:r>
      <w:r>
        <w:rPr>
          <w:rFonts w:hint="eastAsia" w:eastAsia="方正仿宋_GBK" w:cs="Times New Roman"/>
          <w:color w:val="auto"/>
          <w:kern w:val="0"/>
          <w:sz w:val="32"/>
          <w:szCs w:val="32"/>
          <w:lang w:val="en-US" w:eastAsia="zh-CN"/>
        </w:rPr>
        <w:t>压覆范围论证、</w:t>
      </w:r>
      <w:r>
        <w:rPr>
          <w:rFonts w:hint="eastAsia" w:ascii="Times New Roman" w:hAnsi="Times New Roman" w:eastAsia="方正仿宋_GBK" w:cs="Times New Roman"/>
          <w:color w:val="auto"/>
          <w:kern w:val="0"/>
          <w:sz w:val="32"/>
          <w:szCs w:val="32"/>
          <w:lang w:val="en-US" w:eastAsia="zh-CN"/>
        </w:rPr>
        <w:t>压覆资源量估算、经济社会效益对比分析、结论与建议等内容。</w:t>
      </w:r>
    </w:p>
    <w:p w14:paraId="467E9205">
      <w:pPr>
        <w:overflowPunct w:val="0"/>
        <w:snapToGrid w:val="0"/>
        <w:spacing w:beforeLines="0" w:afterLines="0" w:line="594" w:lineRule="exact"/>
        <w:ind w:firstLine="640" w:firstLineChars="200"/>
        <w:rPr>
          <w:rFonts w:hint="eastAsia" w:ascii="Times New Roman" w:hAnsi="Times New Roman" w:eastAsia="方正仿宋_GBK" w:cs="Times New Roman"/>
          <w:color w:val="auto"/>
          <w:spacing w:val="-6"/>
          <w:kern w:val="0"/>
          <w:sz w:val="32"/>
          <w:szCs w:val="32"/>
        </w:rPr>
      </w:pPr>
      <w:r>
        <w:rPr>
          <w:rFonts w:hint="eastAsia" w:ascii="Times New Roman" w:hAnsi="Times New Roman" w:eastAsia="仿宋_GB2312" w:cs="仿宋_GB2312"/>
          <w:color w:val="auto"/>
          <w:sz w:val="32"/>
          <w:szCs w:val="32"/>
          <w:lang w:val="en-US" w:eastAsia="zh-CN"/>
        </w:rPr>
        <w:t>（四）</w:t>
      </w:r>
      <w:r>
        <w:rPr>
          <w:rFonts w:hint="eastAsia" w:eastAsia="仿宋_GB2312" w:cs="仿宋_GB2312"/>
          <w:color w:val="auto"/>
          <w:sz w:val="32"/>
          <w:szCs w:val="32"/>
          <w:lang w:val="en-US" w:eastAsia="zh-CN"/>
        </w:rPr>
        <w:t>矿产资源储量</w:t>
      </w:r>
      <w:r>
        <w:rPr>
          <w:rFonts w:hint="eastAsia" w:ascii="Times New Roman" w:hAnsi="Times New Roman" w:eastAsia="方正仿宋_GBK" w:cs="Times New Roman"/>
          <w:color w:val="auto"/>
          <w:kern w:val="0"/>
          <w:sz w:val="32"/>
          <w:szCs w:val="32"/>
          <w:lang w:val="en-US" w:eastAsia="zh-CN"/>
        </w:rPr>
        <w:t>报告编制单位应当加强内部质量管控，</w:t>
      </w:r>
      <w:r>
        <w:rPr>
          <w:rFonts w:hint="eastAsia" w:ascii="Times New Roman" w:hAnsi="Times New Roman" w:eastAsia="方正仿宋_GBK" w:cs="Times New Roman"/>
          <w:color w:val="auto"/>
          <w:kern w:val="0"/>
          <w:sz w:val="32"/>
          <w:szCs w:val="32"/>
        </w:rPr>
        <w:t>主要编写人员应当具备地质勘查、矿产开发等相关工作背景，</w:t>
      </w:r>
      <w:r>
        <w:rPr>
          <w:rFonts w:hint="eastAsia" w:ascii="Times New Roman" w:hAnsi="Times New Roman" w:eastAsia="方正仿宋_GBK" w:cs="Times New Roman"/>
          <w:color w:val="auto"/>
          <w:spacing w:val="-6"/>
          <w:kern w:val="0"/>
          <w:sz w:val="32"/>
          <w:szCs w:val="32"/>
        </w:rPr>
        <w:t>并在报告中附专业技术职务任职资格、身份证复印件等证明材料。</w:t>
      </w:r>
    </w:p>
    <w:p w14:paraId="47EBA6C8">
      <w:pPr>
        <w:overflowPunct w:val="0"/>
        <w:snapToGrid w:val="0"/>
        <w:spacing w:beforeLines="0" w:afterLines="0" w:line="594" w:lineRule="exact"/>
        <w:ind w:firstLine="640" w:firstLineChars="200"/>
        <w:rPr>
          <w:rFonts w:hint="eastAsia" w:ascii="Times New Roman" w:hAnsi="Times New Roman" w:eastAsia="方正黑体_GBK" w:cs="方正黑体_GBK"/>
          <w:color w:val="auto"/>
          <w:kern w:val="0"/>
          <w:sz w:val="32"/>
          <w:szCs w:val="32"/>
        </w:rPr>
      </w:pPr>
      <w:r>
        <w:rPr>
          <w:rFonts w:hint="eastAsia" w:ascii="Times New Roman" w:hAnsi="Times New Roman" w:eastAsia="方正黑体_GBK" w:cs="方正黑体_GBK"/>
          <w:color w:val="auto"/>
          <w:kern w:val="0"/>
          <w:sz w:val="32"/>
          <w:szCs w:val="32"/>
          <w:lang w:val="en-US" w:eastAsia="zh-CN"/>
        </w:rPr>
        <w:t>二</w:t>
      </w:r>
      <w:r>
        <w:rPr>
          <w:rFonts w:hint="eastAsia" w:ascii="Times New Roman" w:hAnsi="Times New Roman" w:eastAsia="方正黑体_GBK" w:cs="方正黑体_GBK"/>
          <w:color w:val="auto"/>
          <w:kern w:val="0"/>
          <w:sz w:val="32"/>
          <w:szCs w:val="32"/>
        </w:rPr>
        <w:t>、</w:t>
      </w:r>
      <w:r>
        <w:rPr>
          <w:rFonts w:hint="eastAsia" w:ascii="Times New Roman" w:hAnsi="Times New Roman" w:eastAsia="方正黑体_GBK" w:cs="方正黑体_GBK"/>
          <w:color w:val="auto"/>
          <w:kern w:val="0"/>
          <w:sz w:val="32"/>
          <w:szCs w:val="32"/>
          <w:lang w:eastAsia="zh-CN"/>
        </w:rPr>
        <w:t>做好</w:t>
      </w:r>
      <w:r>
        <w:rPr>
          <w:rFonts w:hint="eastAsia" w:ascii="Times New Roman" w:hAnsi="Times New Roman" w:eastAsia="方正黑体_GBK" w:cs="方正黑体_GBK"/>
          <w:color w:val="auto"/>
          <w:kern w:val="0"/>
          <w:sz w:val="32"/>
          <w:szCs w:val="32"/>
        </w:rPr>
        <w:t>矿产资源储量评审备案</w:t>
      </w:r>
    </w:p>
    <w:p w14:paraId="68A57424">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val="en-US" w:eastAsia="zh-CN"/>
        </w:rPr>
        <w:t>五</w:t>
      </w: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olor w:val="auto"/>
          <w:kern w:val="0"/>
          <w:sz w:val="32"/>
          <w:szCs w:val="32"/>
        </w:rPr>
        <w:t>矿产资源</w:t>
      </w:r>
      <w:r>
        <w:rPr>
          <w:rFonts w:hint="eastAsia" w:ascii="Times New Roman" w:hAnsi="Times New Roman" w:eastAsia="方正仿宋_GBK"/>
          <w:color w:val="auto"/>
          <w:kern w:val="0"/>
          <w:sz w:val="32"/>
          <w:szCs w:val="32"/>
          <w:lang w:eastAsia="zh-CN"/>
        </w:rPr>
        <w:t>储量</w:t>
      </w:r>
      <w:r>
        <w:rPr>
          <w:rFonts w:hint="eastAsia" w:ascii="Times New Roman" w:hAnsi="Times New Roman" w:eastAsia="方正仿宋_GBK"/>
          <w:color w:val="auto"/>
          <w:kern w:val="0"/>
          <w:sz w:val="32"/>
          <w:szCs w:val="32"/>
        </w:rPr>
        <w:t>评审备案</w:t>
      </w:r>
      <w:r>
        <w:rPr>
          <w:rFonts w:hint="eastAsia" w:ascii="Times New Roman" w:hAnsi="Times New Roman" w:eastAsia="方正仿宋_GBK" w:cs="Times New Roman"/>
          <w:color w:val="auto"/>
          <w:kern w:val="0"/>
          <w:sz w:val="32"/>
          <w:szCs w:val="32"/>
        </w:rPr>
        <w:t>是规划自然资源主管部门依申请对申请人申报的矿产资源储量进行审查确认，作为国家管理矿产资源重要依据的行政行为。</w:t>
      </w:r>
      <w:r>
        <w:rPr>
          <w:rFonts w:hint="eastAsia" w:ascii="Times New Roman" w:hAnsi="Times New Roman" w:eastAsia="方正仿宋_GBK" w:cs="Times New Roman"/>
          <w:color w:val="auto"/>
          <w:kern w:val="0"/>
          <w:sz w:val="32"/>
          <w:szCs w:val="32"/>
          <w:lang w:val="en-US" w:eastAsia="zh-CN"/>
        </w:rPr>
        <w:t>符合</w:t>
      </w:r>
      <w:r>
        <w:rPr>
          <w:rFonts w:hint="eastAsia" w:ascii="Times New Roman" w:hAnsi="Times New Roman" w:eastAsia="方正仿宋_GBK" w:cs="Times New Roman"/>
          <w:color w:val="auto"/>
          <w:kern w:val="0"/>
          <w:sz w:val="32"/>
          <w:szCs w:val="32"/>
        </w:rPr>
        <w:t>《自然资源部关于深化矿产资源管理改革若干事项的意见》（自然资规〔2023〕6号）</w:t>
      </w:r>
      <w:r>
        <w:rPr>
          <w:rFonts w:hint="eastAsia" w:ascii="Times New Roman" w:hAnsi="Times New Roman" w:eastAsia="方正仿宋_GBK" w:cs="Times New Roman"/>
          <w:color w:val="auto"/>
          <w:kern w:val="0"/>
          <w:sz w:val="32"/>
          <w:szCs w:val="32"/>
          <w:lang w:val="en-US" w:eastAsia="zh-CN"/>
        </w:rPr>
        <w:t>规定的评审备案情形的</w:t>
      </w:r>
      <w:r>
        <w:rPr>
          <w:rFonts w:hint="eastAsia" w:ascii="Times New Roman" w:hAnsi="Times New Roman" w:eastAsia="方正仿宋_GBK" w:cs="Times New Roman"/>
          <w:color w:val="auto"/>
          <w:kern w:val="0"/>
          <w:sz w:val="32"/>
          <w:szCs w:val="32"/>
        </w:rPr>
        <w:t>，应当编制符合相关标准规范的矿产资源储量报告，申请评审备案。</w:t>
      </w:r>
      <w:r>
        <w:rPr>
          <w:rFonts w:hint="eastAsia" w:ascii="Times New Roman" w:hAnsi="Times New Roman" w:eastAsia="方正仿宋_GBK" w:cs="Times New Roman"/>
          <w:color w:val="auto"/>
          <w:kern w:val="0"/>
          <w:sz w:val="32"/>
          <w:szCs w:val="32"/>
          <w:lang w:eastAsia="zh-CN"/>
        </w:rPr>
        <w:t>具体</w:t>
      </w:r>
      <w:r>
        <w:rPr>
          <w:rFonts w:hint="eastAsia" w:ascii="Times New Roman" w:hAnsi="Times New Roman" w:eastAsia="方正仿宋_GBK"/>
          <w:color w:val="auto"/>
          <w:kern w:val="0"/>
          <w:sz w:val="32"/>
          <w:szCs w:val="32"/>
          <w:lang w:eastAsia="zh-CN"/>
        </w:rPr>
        <w:t>包括</w:t>
      </w:r>
      <w:r>
        <w:rPr>
          <w:rFonts w:hint="eastAsia" w:ascii="Times New Roman" w:hAnsi="Times New Roman" w:eastAsia="方正仿宋_GBK"/>
          <w:color w:val="auto"/>
          <w:kern w:val="0"/>
          <w:sz w:val="32"/>
          <w:szCs w:val="32"/>
        </w:rPr>
        <w:t>储量评审和备案</w:t>
      </w:r>
      <w:r>
        <w:rPr>
          <w:rFonts w:hint="eastAsia" w:ascii="Times New Roman" w:hAnsi="Times New Roman" w:eastAsia="FangSong_GB2312"/>
          <w:color w:val="auto"/>
          <w:sz w:val="32"/>
          <w:szCs w:val="32"/>
        </w:rPr>
        <w:t>两个环节</w:t>
      </w:r>
      <w:r>
        <w:rPr>
          <w:rFonts w:hint="eastAsia" w:ascii="Times New Roman" w:hAnsi="Times New Roman" w:eastAsia="FangSong_GB2312"/>
          <w:color w:val="auto"/>
          <w:sz w:val="32"/>
          <w:szCs w:val="32"/>
          <w:lang w:eastAsia="zh-CN"/>
        </w:rPr>
        <w:t>，</w:t>
      </w:r>
      <w:r>
        <w:rPr>
          <w:rFonts w:hint="eastAsia" w:ascii="Times New Roman" w:hAnsi="Times New Roman" w:eastAsia="方正仿宋_GBK" w:cs="Times New Roman"/>
          <w:color w:val="auto"/>
          <w:kern w:val="0"/>
          <w:sz w:val="32"/>
          <w:szCs w:val="32"/>
        </w:rPr>
        <w:t>储量评审</w:t>
      </w:r>
      <w:r>
        <w:rPr>
          <w:rFonts w:hint="eastAsia" w:ascii="Times New Roman" w:hAnsi="Times New Roman" w:eastAsia="方正仿宋_GBK" w:cs="Times New Roman"/>
          <w:color w:val="auto"/>
          <w:kern w:val="0"/>
          <w:sz w:val="32"/>
          <w:szCs w:val="32"/>
          <w:lang w:eastAsia="zh-CN"/>
        </w:rPr>
        <w:t>为技术审查，</w:t>
      </w:r>
      <w:r>
        <w:rPr>
          <w:rFonts w:hint="eastAsia" w:ascii="Times New Roman" w:hAnsi="Times New Roman" w:eastAsia="方正仿宋_GBK" w:cs="Times New Roman"/>
          <w:color w:val="auto"/>
          <w:kern w:val="0"/>
          <w:sz w:val="32"/>
          <w:szCs w:val="32"/>
        </w:rPr>
        <w:t>规划自然资源主管部门</w:t>
      </w:r>
      <w:r>
        <w:rPr>
          <w:rFonts w:hint="eastAsia" w:ascii="Times New Roman" w:hAnsi="Times New Roman" w:eastAsia="方正仿宋_GBK" w:cs="Times New Roman"/>
          <w:color w:val="auto"/>
          <w:kern w:val="0"/>
          <w:sz w:val="32"/>
          <w:szCs w:val="32"/>
          <w:lang w:eastAsia="zh-CN"/>
        </w:rPr>
        <w:t>可委托技术单位实施。</w:t>
      </w:r>
    </w:p>
    <w:p w14:paraId="28701B75">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矿产资源储量评审备案</w:t>
      </w:r>
      <w:r>
        <w:rPr>
          <w:rFonts w:hint="eastAsia" w:ascii="Times New Roman" w:hAnsi="Times New Roman" w:eastAsia="方正仿宋_GBK" w:cs="Times New Roman"/>
          <w:color w:val="auto"/>
          <w:kern w:val="0"/>
          <w:sz w:val="32"/>
          <w:szCs w:val="32"/>
          <w:lang w:eastAsia="zh-CN"/>
        </w:rPr>
        <w:t>申请材料包括：</w:t>
      </w:r>
      <w:r>
        <w:rPr>
          <w:rFonts w:hint="eastAsia" w:ascii="Times New Roman" w:hAnsi="Times New Roman" w:eastAsia="方正仿宋_GBK"/>
          <w:color w:val="auto"/>
          <w:kern w:val="0"/>
          <w:sz w:val="32"/>
          <w:szCs w:val="32"/>
        </w:rPr>
        <w:t>矿产资源储量评审备案申请</w:t>
      </w:r>
      <w:r>
        <w:rPr>
          <w:rFonts w:hint="eastAsia" w:ascii="Times New Roman" w:hAnsi="Times New Roman" w:eastAsia="方正仿宋_GBK"/>
          <w:color w:val="auto"/>
          <w:kern w:val="0"/>
          <w:sz w:val="32"/>
          <w:szCs w:val="32"/>
          <w:lang w:eastAsia="zh-CN"/>
        </w:rPr>
        <w:t>、</w:t>
      </w:r>
      <w:r>
        <w:rPr>
          <w:rFonts w:hint="eastAsia" w:ascii="Times New Roman" w:hAnsi="Times New Roman" w:eastAsia="方正仿宋_GBK"/>
          <w:color w:val="auto"/>
          <w:kern w:val="0"/>
          <w:sz w:val="32"/>
          <w:szCs w:val="32"/>
        </w:rPr>
        <w:t>矿产资源储量信息表</w:t>
      </w:r>
      <w:r>
        <w:rPr>
          <w:rFonts w:hint="eastAsia" w:ascii="Times New Roman" w:hAnsi="Times New Roman" w:eastAsia="方正仿宋_GBK"/>
          <w:color w:val="auto"/>
          <w:kern w:val="0"/>
          <w:sz w:val="32"/>
          <w:szCs w:val="32"/>
          <w:lang w:eastAsia="zh-CN"/>
        </w:rPr>
        <w:t>、</w:t>
      </w:r>
      <w:r>
        <w:rPr>
          <w:rFonts w:hint="eastAsia" w:ascii="Times New Roman" w:hAnsi="Times New Roman" w:eastAsia="方正仿宋_GBK"/>
          <w:color w:val="auto"/>
          <w:kern w:val="0"/>
          <w:sz w:val="32"/>
          <w:szCs w:val="32"/>
        </w:rPr>
        <w:t>矿产资源储量报告</w:t>
      </w:r>
      <w:r>
        <w:rPr>
          <w:rFonts w:hint="eastAsia" w:ascii="Times New Roman" w:hAnsi="Times New Roman" w:eastAsia="方正仿宋_GBK"/>
          <w:color w:val="auto"/>
          <w:kern w:val="0"/>
          <w:sz w:val="32"/>
          <w:szCs w:val="32"/>
          <w:lang w:eastAsia="zh-CN"/>
        </w:rPr>
        <w:t>或</w:t>
      </w:r>
      <w:r>
        <w:rPr>
          <w:rFonts w:hint="eastAsia" w:ascii="Times New Roman" w:hAnsi="Times New Roman" w:eastAsia="方正仿宋_GBK"/>
          <w:color w:val="auto"/>
          <w:kern w:val="0"/>
          <w:sz w:val="32"/>
          <w:szCs w:val="32"/>
        </w:rPr>
        <w:t>建设项目压覆重要矿产资源评估报告。</w:t>
      </w:r>
      <w:r>
        <w:rPr>
          <w:rFonts w:hint="eastAsia" w:ascii="Times New Roman" w:hAnsi="Times New Roman" w:eastAsia="方正仿宋_GBK" w:cs="Times New Roman"/>
          <w:color w:val="auto"/>
          <w:kern w:val="0"/>
          <w:sz w:val="32"/>
          <w:szCs w:val="32"/>
          <w:lang w:eastAsia="zh-CN"/>
        </w:rPr>
        <w:t>申请材料</w:t>
      </w:r>
      <w:r>
        <w:rPr>
          <w:rFonts w:hint="eastAsia" w:ascii="Times New Roman" w:hAnsi="Times New Roman" w:eastAsia="方正仿宋_GBK" w:cs="Times New Roman"/>
          <w:color w:val="auto"/>
          <w:kern w:val="0"/>
          <w:sz w:val="32"/>
          <w:szCs w:val="32"/>
          <w:lang w:val="en-US" w:eastAsia="zh-CN"/>
        </w:rPr>
        <w:t>中包含</w:t>
      </w:r>
      <w:r>
        <w:rPr>
          <w:rFonts w:hint="eastAsia" w:ascii="Times New Roman" w:hAnsi="Times New Roman" w:eastAsia="方正仿宋_GBK" w:cs="Times New Roman"/>
          <w:color w:val="auto"/>
          <w:kern w:val="0"/>
          <w:sz w:val="32"/>
          <w:szCs w:val="32"/>
          <w:lang w:eastAsia="zh-CN"/>
        </w:rPr>
        <w:t>涉密</w:t>
      </w:r>
      <w:r>
        <w:rPr>
          <w:rFonts w:hint="eastAsia" w:ascii="Times New Roman" w:hAnsi="Times New Roman" w:eastAsia="方正仿宋_GBK" w:cs="Times New Roman"/>
          <w:color w:val="auto"/>
          <w:kern w:val="0"/>
          <w:sz w:val="32"/>
          <w:szCs w:val="32"/>
          <w:lang w:val="en-US" w:eastAsia="zh-CN"/>
        </w:rPr>
        <w:t>内容</w:t>
      </w:r>
      <w:r>
        <w:rPr>
          <w:rFonts w:hint="eastAsia" w:ascii="Times New Roman" w:hAnsi="Times New Roman" w:eastAsia="方正仿宋_GBK" w:cs="Times New Roman"/>
          <w:color w:val="auto"/>
          <w:kern w:val="0"/>
          <w:sz w:val="32"/>
          <w:szCs w:val="32"/>
          <w:lang w:eastAsia="zh-CN"/>
        </w:rPr>
        <w:t>的，</w:t>
      </w:r>
      <w:r>
        <w:rPr>
          <w:rFonts w:hint="eastAsia" w:ascii="Times New Roman" w:hAnsi="Times New Roman" w:eastAsia="方正仿宋_GBK" w:cs="Times New Roman"/>
          <w:color w:val="auto"/>
          <w:kern w:val="0"/>
          <w:sz w:val="32"/>
          <w:szCs w:val="32"/>
        </w:rPr>
        <w:t>申请人</w:t>
      </w:r>
      <w:r>
        <w:rPr>
          <w:rFonts w:hint="eastAsia" w:ascii="Times New Roman" w:hAnsi="Times New Roman" w:eastAsia="方正仿宋_GBK" w:cs="Times New Roman"/>
          <w:color w:val="auto"/>
          <w:kern w:val="0"/>
          <w:sz w:val="32"/>
          <w:szCs w:val="32"/>
          <w:lang w:eastAsia="zh-CN"/>
        </w:rPr>
        <w:t>应当现场提交资料，并</w:t>
      </w:r>
      <w:r>
        <w:rPr>
          <w:rFonts w:hint="eastAsia" w:ascii="Times New Roman" w:hAnsi="Times New Roman" w:eastAsia="方正仿宋_GBK" w:cs="Times New Roman"/>
          <w:color w:val="auto"/>
          <w:kern w:val="0"/>
          <w:sz w:val="32"/>
          <w:szCs w:val="32"/>
        </w:rPr>
        <w:t>将涉密内容以书面形式告知</w:t>
      </w:r>
      <w:r>
        <w:rPr>
          <w:rFonts w:hint="eastAsia" w:ascii="Times New Roman" w:hAnsi="Times New Roman" w:eastAsia="方正仿宋_GBK" w:cs="Times New Roman"/>
          <w:color w:val="auto"/>
          <w:kern w:val="0"/>
          <w:sz w:val="32"/>
          <w:szCs w:val="32"/>
          <w:lang w:eastAsia="zh-CN"/>
        </w:rPr>
        <w:t>规划自然资源主管部门。</w:t>
      </w:r>
    </w:p>
    <w:p w14:paraId="6925A658">
      <w:pPr>
        <w:numPr>
          <w:ilvl w:val="0"/>
          <w:numId w:val="0"/>
        </w:num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eastAsia="zh-CN"/>
        </w:rPr>
        <w:t>（六）市规划自然资源局负责本级出让登记矿业权以及</w:t>
      </w:r>
      <w:r>
        <w:rPr>
          <w:rFonts w:hint="eastAsia" w:ascii="Times New Roman" w:hAnsi="Times New Roman" w:eastAsia="方正仿宋_GBK" w:cs="Times New Roman"/>
          <w:color w:val="auto"/>
          <w:kern w:val="0"/>
          <w:sz w:val="32"/>
          <w:szCs w:val="32"/>
        </w:rPr>
        <w:t>建设项目压覆重要矿产（石油、</w:t>
      </w:r>
      <w:r>
        <w:rPr>
          <w:rFonts w:hint="eastAsia" w:eastAsia="方正仿宋_GBK" w:cs="Times New Roman"/>
          <w:color w:val="auto"/>
          <w:kern w:val="0"/>
          <w:sz w:val="32"/>
          <w:szCs w:val="32"/>
          <w:lang w:eastAsia="zh-CN"/>
        </w:rPr>
        <w:t>烃类</w:t>
      </w:r>
      <w:r>
        <w:rPr>
          <w:rFonts w:hint="eastAsia" w:ascii="Times New Roman" w:hAnsi="Times New Roman" w:eastAsia="方正仿宋_GBK" w:cs="Times New Roman"/>
          <w:color w:val="auto"/>
          <w:kern w:val="0"/>
          <w:sz w:val="32"/>
          <w:szCs w:val="32"/>
        </w:rPr>
        <w:t>天然气、页岩气、天然气水合物和放射性矿产资源除外）的</w:t>
      </w:r>
      <w:r>
        <w:rPr>
          <w:rFonts w:hint="eastAsia" w:ascii="Times New Roman" w:hAnsi="Times New Roman" w:eastAsia="方正仿宋_GBK" w:cs="Times New Roman"/>
          <w:color w:val="auto"/>
          <w:kern w:val="0"/>
          <w:sz w:val="32"/>
          <w:szCs w:val="32"/>
          <w:lang w:eastAsia="zh-CN"/>
        </w:rPr>
        <w:t>矿产资源储量</w:t>
      </w:r>
      <w:r>
        <w:rPr>
          <w:rFonts w:hint="eastAsia" w:ascii="Times New Roman" w:hAnsi="Times New Roman" w:eastAsia="方正仿宋_GBK" w:cs="Times New Roman"/>
          <w:color w:val="auto"/>
          <w:kern w:val="0"/>
          <w:sz w:val="32"/>
          <w:szCs w:val="32"/>
        </w:rPr>
        <w:t>评审备案工作</w:t>
      </w:r>
      <w:r>
        <w:rPr>
          <w:rFonts w:hint="eastAsia" w:ascii="Times New Roman" w:hAnsi="Times New Roman" w:eastAsia="方正仿宋_GBK" w:cs="Times New Roman"/>
          <w:color w:val="auto"/>
          <w:kern w:val="0"/>
          <w:sz w:val="32"/>
          <w:szCs w:val="32"/>
          <w:lang w:val="en-US" w:eastAsia="zh-CN"/>
        </w:rPr>
        <w:t>。市规划自然资源局委托市地调院负责市级矿产资源储量评审工作。</w:t>
      </w:r>
      <w:r>
        <w:rPr>
          <w:rFonts w:hint="eastAsia" w:eastAsia="方正仿宋_GBK" w:cs="Times New Roman"/>
          <w:color w:val="auto"/>
          <w:kern w:val="0"/>
          <w:sz w:val="32"/>
          <w:szCs w:val="32"/>
          <w:lang w:val="en-US" w:eastAsia="zh-CN"/>
        </w:rPr>
        <w:t>市地调院应设立矿产资源储量评审中心，组建评审专家委员会，负责开展</w:t>
      </w:r>
      <w:r>
        <w:rPr>
          <w:rFonts w:hint="eastAsia" w:ascii="Times New Roman" w:hAnsi="Times New Roman" w:eastAsia="方正仿宋_GBK" w:cs="Times New Roman"/>
          <w:color w:val="auto"/>
          <w:kern w:val="0"/>
          <w:sz w:val="32"/>
          <w:szCs w:val="32"/>
          <w:lang w:val="en-US" w:eastAsia="zh-CN"/>
        </w:rPr>
        <w:t>市级矿产资源储量评审</w:t>
      </w:r>
      <w:r>
        <w:rPr>
          <w:rFonts w:hint="eastAsia" w:eastAsia="方正仿宋_GBK" w:cs="Times New Roman"/>
          <w:color w:val="auto"/>
          <w:kern w:val="0"/>
          <w:sz w:val="32"/>
          <w:szCs w:val="32"/>
          <w:lang w:val="en-US" w:eastAsia="zh-CN"/>
        </w:rPr>
        <w:t>具体工作，对评审结论和专家重大分歧进行研究，提出是否予以备案的建议。</w:t>
      </w:r>
    </w:p>
    <w:p w14:paraId="37EDDBFF">
      <w:pPr>
        <w:numPr>
          <w:ilvl w:val="0"/>
          <w:numId w:val="0"/>
        </w:num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lang w:val="en-US" w:eastAsia="zh-CN"/>
        </w:rPr>
        <w:t>区县（自治县）规划自然资源局</w:t>
      </w:r>
      <w:r>
        <w:rPr>
          <w:rFonts w:hint="eastAsia" w:eastAsia="方正仿宋_GBK" w:cs="Times New Roman"/>
          <w:color w:val="auto"/>
          <w:kern w:val="0"/>
          <w:sz w:val="32"/>
          <w:szCs w:val="32"/>
          <w:lang w:val="en-US" w:eastAsia="zh-CN"/>
        </w:rPr>
        <w:t>负责本级出让登记矿业权的矿产资源储量评审备案工作</w:t>
      </w:r>
      <w:r>
        <w:rPr>
          <w:rFonts w:hint="eastAsia" w:ascii="Times New Roman" w:hAnsi="Times New Roman" w:eastAsia="方正仿宋_GBK" w:cs="Times New Roman"/>
          <w:color w:val="auto"/>
          <w:kern w:val="0"/>
          <w:sz w:val="32"/>
          <w:szCs w:val="32"/>
          <w:lang w:eastAsia="zh-CN"/>
        </w:rPr>
        <w:t>。</w:t>
      </w:r>
    </w:p>
    <w:p w14:paraId="723868DA">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lang w:val="en-US" w:eastAsia="zh-CN"/>
        </w:rPr>
        <w:t>（七）</w:t>
      </w:r>
      <w:r>
        <w:rPr>
          <w:rFonts w:hint="eastAsia" w:ascii="Times New Roman" w:hAnsi="Times New Roman" w:eastAsia="方正仿宋_GBK" w:cs="Times New Roman"/>
          <w:color w:val="auto"/>
          <w:kern w:val="0"/>
          <w:sz w:val="32"/>
          <w:szCs w:val="32"/>
          <w:lang w:eastAsia="zh-CN"/>
        </w:rPr>
        <w:t>规划自然资源主管部门应当</w:t>
      </w:r>
      <w:r>
        <w:rPr>
          <w:rFonts w:hint="eastAsia" w:ascii="Times New Roman" w:hAnsi="Times New Roman" w:eastAsia="方正仿宋_GBK" w:cs="Times New Roman"/>
          <w:color w:val="auto"/>
          <w:kern w:val="0"/>
          <w:sz w:val="32"/>
          <w:szCs w:val="32"/>
          <w:lang w:val="en-US" w:eastAsia="zh-CN"/>
        </w:rPr>
        <w:t>按照受理评审备案、组织评审会议、修改</w:t>
      </w:r>
      <w:r>
        <w:rPr>
          <w:rFonts w:hint="eastAsia" w:eastAsia="方正仿宋_GBK" w:cs="Times New Roman"/>
          <w:color w:val="auto"/>
          <w:kern w:val="0"/>
          <w:sz w:val="32"/>
          <w:szCs w:val="32"/>
          <w:lang w:val="en-US" w:eastAsia="zh-CN"/>
        </w:rPr>
        <w:t>完善</w:t>
      </w:r>
      <w:r>
        <w:rPr>
          <w:rFonts w:hint="eastAsia" w:ascii="Times New Roman" w:hAnsi="Times New Roman" w:eastAsia="方正仿宋_GBK" w:cs="Times New Roman"/>
          <w:color w:val="auto"/>
          <w:kern w:val="0"/>
          <w:sz w:val="32"/>
          <w:szCs w:val="32"/>
          <w:lang w:val="en-US" w:eastAsia="zh-CN"/>
        </w:rPr>
        <w:t>复核、出具评审意见、印发备案结果的程序开展</w:t>
      </w:r>
      <w:r>
        <w:rPr>
          <w:rFonts w:hint="eastAsia" w:ascii="Times New Roman" w:hAnsi="Times New Roman" w:eastAsia="方正仿宋_GBK" w:cs="Times New Roman"/>
          <w:color w:val="auto"/>
          <w:kern w:val="0"/>
          <w:sz w:val="32"/>
          <w:szCs w:val="32"/>
        </w:rPr>
        <w:t>（流程见附件1）</w:t>
      </w:r>
      <w:r>
        <w:rPr>
          <w:rFonts w:hint="eastAsia" w:ascii="Times New Roman" w:hAnsi="Times New Roman" w:eastAsia="方正仿宋_GBK" w:cs="Times New Roman"/>
          <w:color w:val="auto"/>
          <w:kern w:val="0"/>
          <w:sz w:val="32"/>
          <w:szCs w:val="32"/>
          <w:lang w:val="en-US" w:eastAsia="zh-CN"/>
        </w:rPr>
        <w:t>，并于受理之日起60个工作日内办结。</w:t>
      </w:r>
      <w:r>
        <w:rPr>
          <w:rFonts w:hint="eastAsia" w:ascii="Times New Roman" w:hAnsi="Times New Roman" w:eastAsia="方正仿宋_GBK" w:cs="Times New Roman"/>
          <w:color w:val="auto"/>
          <w:kern w:val="0"/>
          <w:sz w:val="32"/>
          <w:szCs w:val="32"/>
        </w:rPr>
        <w:t>首次申请评审备案矿产资源储量规模为</w:t>
      </w:r>
      <w:r>
        <w:rPr>
          <w:rFonts w:hint="eastAsia" w:eastAsia="方正仿宋_GBK" w:cs="Times New Roman"/>
          <w:color w:val="auto"/>
          <w:kern w:val="0"/>
          <w:sz w:val="32"/>
          <w:szCs w:val="32"/>
          <w:highlight w:val="none"/>
          <w:lang w:val="en-US" w:eastAsia="zh-CN"/>
        </w:rPr>
        <w:t>中型</w:t>
      </w:r>
      <w:r>
        <w:rPr>
          <w:rFonts w:hint="eastAsia" w:ascii="Times New Roman" w:hAnsi="Times New Roman" w:eastAsia="方正仿宋_GBK" w:cs="Times New Roman"/>
          <w:color w:val="auto"/>
          <w:kern w:val="0"/>
          <w:sz w:val="32"/>
          <w:szCs w:val="32"/>
          <w:lang w:val="en-US" w:eastAsia="zh-CN"/>
        </w:rPr>
        <w:t>及以上</w:t>
      </w:r>
      <w:r>
        <w:rPr>
          <w:rFonts w:hint="eastAsia" w:ascii="Times New Roman" w:hAnsi="Times New Roman" w:eastAsia="方正仿宋_GBK" w:cs="Times New Roman"/>
          <w:color w:val="auto"/>
          <w:kern w:val="0"/>
          <w:sz w:val="32"/>
          <w:szCs w:val="32"/>
        </w:rPr>
        <w:t>，非油气矿产累计查明矿产资源量或油气矿产探明地质储量变化量达到大型，以及评审过程中存疑的，</w:t>
      </w:r>
      <w:r>
        <w:rPr>
          <w:rFonts w:hint="eastAsia" w:ascii="Times New Roman" w:hAnsi="Times New Roman" w:eastAsia="方正仿宋_GBK" w:cs="Times New Roman"/>
          <w:b w:val="0"/>
          <w:i w:val="0"/>
          <w:color w:val="auto"/>
          <w:kern w:val="0"/>
          <w:sz w:val="32"/>
          <w:szCs w:val="32"/>
          <w:lang w:val="en-US" w:eastAsia="zh-CN"/>
        </w:rPr>
        <w:t>应当组织现场核查，</w:t>
      </w:r>
      <w:r>
        <w:rPr>
          <w:rFonts w:hint="eastAsia" w:ascii="Times New Roman" w:hAnsi="Times New Roman" w:eastAsia="方正仿宋_GBK" w:cs="Times New Roman"/>
          <w:color w:val="auto"/>
          <w:kern w:val="0"/>
          <w:sz w:val="32"/>
          <w:szCs w:val="32"/>
        </w:rPr>
        <w:t>形成现场核查报告，作为评审备案的依据</w:t>
      </w:r>
      <w:r>
        <w:rPr>
          <w:rFonts w:hint="eastAsia" w:ascii="Times New Roman" w:hAnsi="Times New Roman" w:eastAsia="方正仿宋_GBK" w:cs="Times New Roman"/>
          <w:b w:val="0"/>
          <w:i w:val="0"/>
          <w:color w:val="auto"/>
          <w:kern w:val="0"/>
          <w:sz w:val="32"/>
          <w:szCs w:val="32"/>
          <w:lang w:val="en-US" w:eastAsia="zh-CN"/>
        </w:rPr>
        <w:t>。现场核查未通过或</w:t>
      </w:r>
      <w:r>
        <w:rPr>
          <w:rFonts w:hint="eastAsia" w:eastAsia="方正仿宋_GBK" w:cs="Times New Roman"/>
          <w:b w:val="0"/>
          <w:i w:val="0"/>
          <w:color w:val="auto"/>
          <w:kern w:val="0"/>
          <w:sz w:val="32"/>
          <w:szCs w:val="32"/>
          <w:lang w:val="en-US" w:eastAsia="zh-CN"/>
        </w:rPr>
        <w:t>申请人</w:t>
      </w:r>
      <w:r>
        <w:rPr>
          <w:rFonts w:hint="eastAsia" w:ascii="Times New Roman" w:hAnsi="Times New Roman" w:eastAsia="方正仿宋_GBK" w:cs="Times New Roman"/>
          <w:b w:val="0"/>
          <w:i w:val="0"/>
          <w:color w:val="auto"/>
          <w:kern w:val="0"/>
          <w:sz w:val="32"/>
          <w:szCs w:val="32"/>
          <w:lang w:val="en-US" w:eastAsia="zh-CN"/>
        </w:rPr>
        <w:t>拒不配合现场核查的，其申请评审备案的</w:t>
      </w:r>
      <w:r>
        <w:rPr>
          <w:rFonts w:hint="eastAsia" w:eastAsia="方正仿宋_GBK" w:cs="Times New Roman"/>
          <w:b w:val="0"/>
          <w:i w:val="0"/>
          <w:color w:val="auto"/>
          <w:kern w:val="0"/>
          <w:sz w:val="32"/>
          <w:szCs w:val="32"/>
          <w:lang w:val="en-US" w:eastAsia="zh-CN"/>
        </w:rPr>
        <w:t>矿产资源</w:t>
      </w:r>
      <w:r>
        <w:rPr>
          <w:rFonts w:hint="eastAsia" w:ascii="Times New Roman" w:hAnsi="Times New Roman" w:eastAsia="方正仿宋_GBK" w:cs="Times New Roman"/>
          <w:b w:val="0"/>
          <w:i w:val="0"/>
          <w:color w:val="auto"/>
          <w:kern w:val="0"/>
          <w:sz w:val="32"/>
          <w:szCs w:val="32"/>
          <w:lang w:val="en-US" w:eastAsia="zh-CN"/>
        </w:rPr>
        <w:t>储量报告不予通过。</w:t>
      </w:r>
    </w:p>
    <w:p w14:paraId="022DD8E8">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八</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市规划自然资源局受理的评审备案业务，市地调院应当</w:t>
      </w:r>
      <w:r>
        <w:rPr>
          <w:rFonts w:hint="eastAsia" w:ascii="Times New Roman" w:hAnsi="Times New Roman" w:eastAsia="方正仿宋_GBK" w:cs="Times New Roman"/>
          <w:color w:val="auto"/>
          <w:kern w:val="0"/>
          <w:sz w:val="32"/>
          <w:szCs w:val="32"/>
        </w:rPr>
        <w:t>在召开评审会议5个工作日</w:t>
      </w:r>
      <w:r>
        <w:rPr>
          <w:rFonts w:hint="eastAsia" w:ascii="Times New Roman" w:hAnsi="Times New Roman" w:eastAsia="方正仿宋_GBK" w:cs="Times New Roman"/>
          <w:color w:val="auto"/>
          <w:kern w:val="0"/>
          <w:sz w:val="32"/>
          <w:szCs w:val="32"/>
          <w:lang w:val="en-US" w:eastAsia="zh-CN"/>
        </w:rPr>
        <w:t>前向自然资源部</w:t>
      </w:r>
      <w:r>
        <w:rPr>
          <w:rFonts w:hint="eastAsia" w:eastAsia="方正仿宋_GBK" w:cs="Times New Roman"/>
          <w:color w:val="auto"/>
          <w:kern w:val="0"/>
          <w:sz w:val="32"/>
          <w:szCs w:val="32"/>
          <w:lang w:val="en-US" w:eastAsia="zh-CN"/>
        </w:rPr>
        <w:t>矿产资源储量评审中心</w:t>
      </w:r>
      <w:r>
        <w:rPr>
          <w:rFonts w:hint="eastAsia" w:ascii="Times New Roman" w:hAnsi="Times New Roman" w:eastAsia="方正仿宋_GBK" w:cs="Times New Roman"/>
          <w:color w:val="auto"/>
          <w:kern w:val="0"/>
          <w:sz w:val="32"/>
          <w:szCs w:val="32"/>
        </w:rPr>
        <w:t>报送评审备案受理信息表（附件</w:t>
      </w:r>
      <w:r>
        <w:rPr>
          <w:rFonts w:hint="eastAsia" w:ascii="Times New Roman" w:hAnsi="Times New Roman" w:eastAsia="方正仿宋_GBK" w:cs="Times New Roman"/>
          <w:color w:val="auto"/>
          <w:kern w:val="0"/>
          <w:sz w:val="32"/>
          <w:szCs w:val="32"/>
          <w:lang w:val="en-US" w:eastAsia="zh-CN"/>
        </w:rPr>
        <w:t>2</w:t>
      </w: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eastAsia="zh-CN"/>
        </w:rPr>
        <w:t>。</w:t>
      </w:r>
    </w:p>
    <w:p w14:paraId="6D49788B">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lang w:val="en-US" w:eastAsia="zh-CN"/>
        </w:rPr>
        <w:t>市地调院通过视频录像、列席会议等方式对区县组织的储量评审会议进行监督指导</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rPr>
        <w:t>区县（自治县）规划自然资源</w:t>
      </w:r>
      <w:r>
        <w:rPr>
          <w:rFonts w:hint="eastAsia" w:ascii="Times New Roman" w:hAnsi="Times New Roman" w:eastAsia="方正仿宋_GBK" w:cs="Times New Roman"/>
          <w:color w:val="auto"/>
          <w:kern w:val="0"/>
          <w:sz w:val="32"/>
          <w:szCs w:val="32"/>
          <w:lang w:eastAsia="zh-CN"/>
        </w:rPr>
        <w:t>局</w:t>
      </w:r>
      <w:r>
        <w:rPr>
          <w:rFonts w:hint="eastAsia" w:ascii="Times New Roman" w:hAnsi="Times New Roman" w:eastAsia="方正仿宋_GBK" w:cs="Times New Roman"/>
          <w:color w:val="auto"/>
          <w:kern w:val="0"/>
          <w:sz w:val="32"/>
          <w:szCs w:val="32"/>
          <w:lang w:val="en-US" w:eastAsia="zh-CN"/>
        </w:rPr>
        <w:t>受理评审备案业务后，应当及时确定评审安排和</w:t>
      </w:r>
      <w:r>
        <w:rPr>
          <w:rFonts w:hint="eastAsia" w:ascii="Times New Roman" w:hAnsi="Times New Roman" w:eastAsia="方正仿宋_GBK" w:cs="Times New Roman"/>
          <w:color w:val="auto"/>
          <w:kern w:val="0"/>
          <w:sz w:val="32"/>
          <w:szCs w:val="32"/>
        </w:rPr>
        <w:t>评审专家组专业构成及成员数量，在召开评审会议</w:t>
      </w:r>
      <w:r>
        <w:rPr>
          <w:rFonts w:hint="eastAsia" w:ascii="Times New Roman" w:hAnsi="Times New Roman" w:eastAsia="方正仿宋_GBK" w:cs="Times New Roman"/>
          <w:color w:val="auto"/>
          <w:kern w:val="0"/>
          <w:sz w:val="32"/>
          <w:szCs w:val="32"/>
          <w:lang w:eastAsia="zh-CN"/>
        </w:rPr>
        <w:t>3</w:t>
      </w:r>
      <w:r>
        <w:rPr>
          <w:rFonts w:hint="eastAsia" w:ascii="Times New Roman" w:hAnsi="Times New Roman" w:eastAsia="方正仿宋_GBK" w:cs="Times New Roman"/>
          <w:color w:val="auto"/>
          <w:kern w:val="0"/>
          <w:sz w:val="32"/>
          <w:szCs w:val="32"/>
        </w:rPr>
        <w:t>个工作日前向</w:t>
      </w:r>
      <w:r>
        <w:rPr>
          <w:rFonts w:hint="eastAsia" w:ascii="Times New Roman" w:hAnsi="Times New Roman" w:eastAsia="方正仿宋_GBK" w:cs="Times New Roman"/>
          <w:color w:val="auto"/>
          <w:kern w:val="0"/>
          <w:sz w:val="32"/>
          <w:szCs w:val="32"/>
          <w:lang w:val="en-US" w:eastAsia="zh-CN"/>
        </w:rPr>
        <w:t>市地调院</w:t>
      </w:r>
      <w:r>
        <w:rPr>
          <w:rFonts w:hint="eastAsia" w:ascii="Times New Roman" w:hAnsi="Times New Roman" w:eastAsia="方正仿宋_GBK" w:cs="Times New Roman"/>
          <w:color w:val="auto"/>
          <w:kern w:val="0"/>
          <w:sz w:val="32"/>
          <w:szCs w:val="32"/>
        </w:rPr>
        <w:t>报送评审备案受理信息表</w:t>
      </w:r>
      <w:r>
        <w:rPr>
          <w:rFonts w:hint="eastAsia" w:eastAsia="方正仿宋_GBK" w:cs="Times New Roman"/>
          <w:color w:val="auto"/>
          <w:kern w:val="0"/>
          <w:sz w:val="32"/>
          <w:szCs w:val="32"/>
          <w:lang w:eastAsia="zh-CN"/>
        </w:rPr>
        <w:t>，由市地调院统一安排评审会议室</w:t>
      </w:r>
      <w:r>
        <w:rPr>
          <w:rFonts w:hint="eastAsia" w:ascii="Times New Roman" w:hAnsi="Times New Roman" w:eastAsia="方正仿宋_GBK" w:cs="Times New Roman"/>
          <w:color w:val="auto"/>
          <w:kern w:val="0"/>
          <w:sz w:val="32"/>
          <w:szCs w:val="32"/>
          <w:lang w:eastAsia="zh-CN"/>
        </w:rPr>
        <w:t>。</w:t>
      </w:r>
    </w:p>
    <w:p w14:paraId="4549C31D">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九</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评审专家应当</w:t>
      </w:r>
      <w:r>
        <w:rPr>
          <w:rFonts w:hint="eastAsia" w:ascii="Times New Roman" w:hAnsi="Times New Roman" w:eastAsia="方正仿宋_GBK" w:cs="Times New Roman"/>
          <w:color w:val="auto"/>
          <w:kern w:val="0"/>
          <w:sz w:val="32"/>
          <w:szCs w:val="32"/>
        </w:rPr>
        <w:t>从矿产资源储量评审专家库中随机</w:t>
      </w:r>
      <w:r>
        <w:rPr>
          <w:rFonts w:hint="eastAsia" w:ascii="Times New Roman" w:hAnsi="Times New Roman" w:eastAsia="方正仿宋_GBK" w:cs="Times New Roman"/>
          <w:color w:val="auto"/>
          <w:kern w:val="0"/>
          <w:sz w:val="32"/>
          <w:szCs w:val="32"/>
          <w:lang w:val="en-US" w:eastAsia="zh-CN"/>
        </w:rPr>
        <w:t>抽</w:t>
      </w:r>
      <w:r>
        <w:rPr>
          <w:rFonts w:hint="eastAsia" w:ascii="Times New Roman" w:hAnsi="Times New Roman" w:eastAsia="方正仿宋_GBK" w:cs="Times New Roman"/>
          <w:color w:val="auto"/>
          <w:kern w:val="0"/>
          <w:sz w:val="32"/>
          <w:szCs w:val="32"/>
        </w:rPr>
        <w:t>取，专家组长从核心专家中抽取。矿产资源储量规模为小型的，专家组不少于3名专家，中型</w:t>
      </w:r>
      <w:r>
        <w:rPr>
          <w:rFonts w:hint="eastAsia" w:eastAsia="方正仿宋_GBK" w:cs="Times New Roman"/>
          <w:color w:val="auto"/>
          <w:kern w:val="0"/>
          <w:sz w:val="32"/>
          <w:szCs w:val="32"/>
          <w:lang w:eastAsia="zh-CN"/>
        </w:rPr>
        <w:t>规模</w:t>
      </w:r>
      <w:r>
        <w:rPr>
          <w:rFonts w:hint="eastAsia" w:ascii="Times New Roman" w:hAnsi="Times New Roman" w:eastAsia="方正仿宋_GBK" w:cs="Times New Roman"/>
          <w:color w:val="auto"/>
          <w:kern w:val="0"/>
          <w:sz w:val="32"/>
          <w:szCs w:val="32"/>
        </w:rPr>
        <w:t>及以上的不少于5名专家。</w:t>
      </w:r>
    </w:p>
    <w:p w14:paraId="7A6A3B7B">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地质矿产专业专家按</w:t>
      </w:r>
      <w:r>
        <w:rPr>
          <w:rFonts w:hint="eastAsia" w:ascii="Times New Roman" w:hAnsi="Times New Roman" w:eastAsia="方正仿宋_GBK" w:cs="Times New Roman"/>
          <w:color w:val="auto"/>
          <w:kern w:val="0"/>
          <w:sz w:val="32"/>
          <w:szCs w:val="32"/>
          <w:lang w:eastAsia="zh-CN"/>
        </w:rPr>
        <w:t>照</w:t>
      </w:r>
      <w:r>
        <w:rPr>
          <w:rFonts w:hint="eastAsia" w:ascii="Times New Roman" w:hAnsi="Times New Roman" w:eastAsia="方正仿宋_GBK" w:cs="Times New Roman"/>
          <w:color w:val="auto"/>
          <w:kern w:val="0"/>
          <w:sz w:val="32"/>
          <w:szCs w:val="32"/>
        </w:rPr>
        <w:t>矿产资源储量规模配备，大型规模</w:t>
      </w:r>
      <w:r>
        <w:rPr>
          <w:rFonts w:hint="eastAsia" w:eastAsia="方正仿宋_GBK" w:cs="Times New Roman"/>
          <w:color w:val="auto"/>
          <w:kern w:val="0"/>
          <w:sz w:val="32"/>
          <w:szCs w:val="32"/>
          <w:lang w:eastAsia="zh-CN"/>
        </w:rPr>
        <w:t>不少于</w:t>
      </w:r>
      <w:r>
        <w:rPr>
          <w:rFonts w:hint="eastAsia" w:ascii="Times New Roman" w:hAnsi="Times New Roman" w:eastAsia="方正仿宋_GBK" w:cs="Times New Roman"/>
          <w:color w:val="auto"/>
          <w:kern w:val="0"/>
          <w:sz w:val="32"/>
          <w:szCs w:val="32"/>
        </w:rPr>
        <w:t>3名、中型规模</w:t>
      </w:r>
      <w:r>
        <w:rPr>
          <w:rFonts w:hint="eastAsia" w:eastAsia="方正仿宋_GBK" w:cs="Times New Roman"/>
          <w:color w:val="auto"/>
          <w:kern w:val="0"/>
          <w:sz w:val="32"/>
          <w:szCs w:val="32"/>
          <w:lang w:eastAsia="zh-CN"/>
        </w:rPr>
        <w:t>及以下的不少于</w:t>
      </w:r>
      <w:r>
        <w:rPr>
          <w:rFonts w:hint="eastAsia" w:ascii="Times New Roman" w:hAnsi="Times New Roman" w:eastAsia="方正仿宋_GBK" w:cs="Times New Roman"/>
          <w:color w:val="auto"/>
          <w:kern w:val="0"/>
          <w:sz w:val="32"/>
          <w:szCs w:val="32"/>
        </w:rPr>
        <w:t>2名，其中1名为储量核算专家；水工环、采矿、物化探、选冶、矿产经济等专家人数视报告具体情况配备。</w:t>
      </w:r>
    </w:p>
    <w:p w14:paraId="658F870A">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十</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评审会议参会人员应当包括评审专家、报告编制单位相关人员、评审备案申请人代表。</w:t>
      </w:r>
    </w:p>
    <w:p w14:paraId="4DEA71A4">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lang w:val="en-US" w:eastAsia="zh-CN"/>
        </w:rPr>
        <w:t>评审专家依据法律法规和标准规范履行技术审查职责，储量核实报告重点对工业指标、地质勘查及研究程度、开采技术条件、矿石加工选冶技术性能研究、</w:t>
      </w:r>
      <w:r>
        <w:rPr>
          <w:rFonts w:hint="eastAsia" w:ascii="Times New Roman" w:hAnsi="Times New Roman" w:eastAsia="方正仿宋_GBK" w:cs="Times New Roman"/>
          <w:color w:val="auto"/>
          <w:kern w:val="0"/>
          <w:sz w:val="32"/>
          <w:szCs w:val="32"/>
        </w:rPr>
        <w:t>采样及分析测试质量、资源储量估算</w:t>
      </w:r>
      <w:r>
        <w:rPr>
          <w:rFonts w:hint="eastAsia" w:ascii="Times New Roman" w:hAnsi="Times New Roman" w:eastAsia="方正仿宋_GBK" w:cs="Times New Roman"/>
          <w:color w:val="auto"/>
          <w:kern w:val="0"/>
          <w:sz w:val="32"/>
          <w:szCs w:val="32"/>
          <w:lang w:val="en-US" w:eastAsia="zh-CN"/>
        </w:rPr>
        <w:t>等内容的合规性合理性进行审查；</w:t>
      </w:r>
      <w:r>
        <w:rPr>
          <w:rFonts w:hint="eastAsia" w:eastAsia="方正仿宋_GBK" w:cs="Times New Roman"/>
          <w:color w:val="auto"/>
          <w:kern w:val="0"/>
          <w:sz w:val="32"/>
          <w:szCs w:val="32"/>
          <w:lang w:val="en-US" w:eastAsia="zh-CN"/>
        </w:rPr>
        <w:t>压覆矿产资源评估</w:t>
      </w:r>
      <w:r>
        <w:rPr>
          <w:rFonts w:hint="eastAsia" w:ascii="Times New Roman" w:hAnsi="Times New Roman" w:eastAsia="方正仿宋_GBK" w:cs="Times New Roman"/>
          <w:color w:val="auto"/>
          <w:kern w:val="0"/>
          <w:sz w:val="32"/>
          <w:szCs w:val="32"/>
          <w:lang w:val="en-US" w:eastAsia="zh-CN"/>
        </w:rPr>
        <w:t>报告重点对压覆矿产资源不可避免性论证、压覆范围论证、压覆资源量估算、压覆影响论证等方面进行审查。专家个人意见应当</w:t>
      </w:r>
      <w:r>
        <w:rPr>
          <w:rFonts w:hint="eastAsia" w:ascii="Times New Roman" w:hAnsi="Times New Roman" w:eastAsia="方正仿宋_GBK" w:cs="Times New Roman"/>
          <w:color w:val="auto"/>
          <w:kern w:val="0"/>
          <w:sz w:val="32"/>
          <w:szCs w:val="32"/>
        </w:rPr>
        <w:t>明确是否同意通过评审</w:t>
      </w:r>
      <w:r>
        <w:rPr>
          <w:rFonts w:hint="eastAsia" w:ascii="Times New Roman" w:hAnsi="Times New Roman" w:eastAsia="方正仿宋_GBK" w:cs="Times New Roman"/>
          <w:color w:val="auto"/>
          <w:kern w:val="0"/>
          <w:sz w:val="32"/>
          <w:szCs w:val="32"/>
          <w:lang w:eastAsia="zh-CN"/>
        </w:rPr>
        <w:t>。</w:t>
      </w:r>
    </w:p>
    <w:p w14:paraId="29F923F3">
      <w:pPr>
        <w:overflowPunct w:val="0"/>
        <w:snapToGrid w:val="0"/>
        <w:spacing w:beforeLines="0" w:afterLines="0" w:line="594" w:lineRule="exact"/>
        <w:ind w:firstLine="640" w:firstLineChars="200"/>
        <w:rPr>
          <w:rFonts w:hint="eastAsia" w:ascii="Times New Roman" w:hAnsi="Times New Roman" w:eastAsia="方正仿宋_GBK"/>
          <w:color w:val="auto"/>
          <w:spacing w:val="-6"/>
          <w:kern w:val="0"/>
          <w:sz w:val="32"/>
          <w:szCs w:val="32"/>
          <w:lang w:eastAsia="zh-CN"/>
        </w:rPr>
      </w:pPr>
      <w:r>
        <w:rPr>
          <w:rFonts w:hint="eastAsia" w:ascii="Times New Roman" w:hAnsi="Times New Roman" w:eastAsia="方正仿宋_GBK"/>
          <w:color w:val="auto"/>
          <w:kern w:val="0"/>
          <w:sz w:val="32"/>
          <w:szCs w:val="32"/>
          <w:lang w:eastAsia="zh-CN"/>
        </w:rPr>
        <w:t>评审专家组组长组织评审专家针对重点问题和分歧意见进</w:t>
      </w:r>
      <w:r>
        <w:rPr>
          <w:rFonts w:hint="eastAsia" w:ascii="Times New Roman" w:hAnsi="Times New Roman" w:eastAsia="方正仿宋_GBK"/>
          <w:color w:val="auto"/>
          <w:spacing w:val="-6"/>
          <w:kern w:val="0"/>
          <w:sz w:val="32"/>
          <w:szCs w:val="32"/>
          <w:lang w:eastAsia="zh-CN"/>
        </w:rPr>
        <w:t>行充分讨论，提出明确的处理意见，形成具体的评审专家组意见。</w:t>
      </w:r>
    </w:p>
    <w:p w14:paraId="5315158B">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val="en-US" w:eastAsia="zh-CN"/>
        </w:rPr>
        <w:t>十一</w:t>
      </w: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olor w:val="auto"/>
          <w:kern w:val="0"/>
          <w:sz w:val="32"/>
          <w:szCs w:val="32"/>
        </w:rPr>
        <w:t>储量</w:t>
      </w:r>
      <w:r>
        <w:rPr>
          <w:rFonts w:hint="eastAsia" w:ascii="Times New Roman" w:hAnsi="Times New Roman" w:eastAsia="方正仿宋_GBK" w:cs="Times New Roman"/>
          <w:color w:val="auto"/>
          <w:kern w:val="0"/>
          <w:sz w:val="32"/>
          <w:szCs w:val="32"/>
          <w:lang w:eastAsia="zh-CN"/>
        </w:rPr>
        <w:t>评审机构</w:t>
      </w:r>
      <w:r>
        <w:rPr>
          <w:rFonts w:hint="eastAsia" w:ascii="Times New Roman" w:hAnsi="Times New Roman" w:eastAsia="方正仿宋_GBK" w:cs="Times New Roman"/>
          <w:color w:val="auto"/>
          <w:kern w:val="0"/>
          <w:sz w:val="32"/>
          <w:szCs w:val="32"/>
          <w:lang w:val="en-US" w:eastAsia="zh-CN"/>
        </w:rPr>
        <w:t>在评审会议结束后，应当通过专题会、办公会等形式，研究评审专家组意见，与</w:t>
      </w:r>
      <w:r>
        <w:rPr>
          <w:rFonts w:hint="eastAsia" w:ascii="Times New Roman" w:hAnsi="Times New Roman" w:eastAsia="方正仿宋_GBK" w:cs="Times New Roman"/>
          <w:color w:val="auto"/>
          <w:kern w:val="0"/>
          <w:sz w:val="32"/>
          <w:szCs w:val="32"/>
        </w:rPr>
        <w:t>评审专家组评审结论不一致时，应责成评审专家组予以研究</w:t>
      </w:r>
      <w:r>
        <w:rPr>
          <w:rFonts w:hint="eastAsia" w:ascii="Times New Roman" w:hAnsi="Times New Roman" w:eastAsia="方正仿宋_GBK" w:cs="Times New Roman"/>
          <w:color w:val="auto"/>
          <w:kern w:val="0"/>
          <w:sz w:val="32"/>
          <w:szCs w:val="32"/>
          <w:lang w:eastAsia="zh-CN"/>
        </w:rPr>
        <w:t>。</w:t>
      </w:r>
    </w:p>
    <w:p w14:paraId="48A18273">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十二</w:t>
      </w:r>
      <w:r>
        <w:rPr>
          <w:rFonts w:hint="eastAsia" w:ascii="Times New Roman" w:hAnsi="Times New Roman" w:eastAsia="方正仿宋_GBK" w:cs="Times New Roman"/>
          <w:color w:val="auto"/>
          <w:kern w:val="0"/>
          <w:sz w:val="32"/>
          <w:szCs w:val="32"/>
          <w:lang w:eastAsia="zh-CN"/>
        </w:rPr>
        <w:t>）</w:t>
      </w:r>
      <w:r>
        <w:rPr>
          <w:rFonts w:hint="eastAsia" w:eastAsia="方正仿宋_GBK" w:cs="Times New Roman"/>
          <w:color w:val="auto"/>
          <w:kern w:val="0"/>
          <w:sz w:val="32"/>
          <w:szCs w:val="32"/>
          <w:lang w:eastAsia="zh-CN"/>
        </w:rPr>
        <w:t>通过评审并符合备案要求的，储量评审机构</w:t>
      </w:r>
      <w:r>
        <w:rPr>
          <w:rFonts w:hint="eastAsia" w:ascii="Times New Roman" w:hAnsi="Times New Roman" w:eastAsia="方正仿宋_GBK" w:cs="Times New Roman"/>
          <w:color w:val="auto"/>
          <w:kern w:val="0"/>
          <w:sz w:val="32"/>
          <w:szCs w:val="32"/>
          <w:lang w:val="en-US" w:eastAsia="zh-CN"/>
        </w:rPr>
        <w:t>出具评审意见书，</w:t>
      </w:r>
      <w:r>
        <w:rPr>
          <w:rFonts w:hint="eastAsia" w:ascii="Times New Roman" w:hAnsi="Times New Roman" w:eastAsia="方正仿宋_GBK" w:cs="Times New Roman"/>
          <w:color w:val="auto"/>
          <w:kern w:val="0"/>
          <w:sz w:val="32"/>
          <w:szCs w:val="32"/>
        </w:rPr>
        <w:t>填写矿产资源储量评审备案信息表</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报本级规划</w:t>
      </w:r>
      <w:r>
        <w:rPr>
          <w:rFonts w:hint="eastAsia" w:ascii="Times New Roman" w:hAnsi="Times New Roman" w:eastAsia="方正仿宋_GBK" w:cs="Times New Roman"/>
          <w:color w:val="auto"/>
          <w:kern w:val="0"/>
          <w:sz w:val="32"/>
          <w:szCs w:val="32"/>
        </w:rPr>
        <w:t>自然资源主管部门备案</w:t>
      </w:r>
      <w:r>
        <w:rPr>
          <w:rFonts w:hint="eastAsia" w:ascii="Times New Roman" w:hAnsi="Times New Roman" w:eastAsia="方正仿宋_GBK" w:cs="Times New Roman"/>
          <w:color w:val="auto"/>
          <w:kern w:val="0"/>
          <w:sz w:val="32"/>
          <w:szCs w:val="32"/>
          <w:lang w:eastAsia="zh-CN"/>
        </w:rPr>
        <w:t>。</w:t>
      </w:r>
    </w:p>
    <w:p w14:paraId="7B6E919F">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通过备案的，</w:t>
      </w:r>
      <w:r>
        <w:rPr>
          <w:rFonts w:hint="eastAsia" w:ascii="Times New Roman" w:hAnsi="Times New Roman" w:eastAsia="方正仿宋_GBK" w:cs="Times New Roman"/>
          <w:color w:val="auto"/>
          <w:kern w:val="0"/>
          <w:sz w:val="32"/>
          <w:szCs w:val="32"/>
          <w:lang w:val="en-US" w:eastAsia="zh-CN"/>
        </w:rPr>
        <w:t>规划</w:t>
      </w:r>
      <w:r>
        <w:rPr>
          <w:rFonts w:hint="eastAsia" w:ascii="Times New Roman" w:hAnsi="Times New Roman" w:eastAsia="方正仿宋_GBK" w:cs="Times New Roman"/>
          <w:color w:val="auto"/>
          <w:kern w:val="0"/>
          <w:sz w:val="32"/>
          <w:szCs w:val="32"/>
        </w:rPr>
        <w:t>自然资源</w:t>
      </w:r>
      <w:r>
        <w:rPr>
          <w:rFonts w:hint="eastAsia" w:ascii="Times New Roman" w:hAnsi="Times New Roman" w:eastAsia="方正仿宋_GBK" w:cs="Times New Roman"/>
          <w:color w:val="auto"/>
          <w:kern w:val="0"/>
          <w:sz w:val="32"/>
          <w:szCs w:val="32"/>
          <w:lang w:val="en-US" w:eastAsia="zh-CN"/>
        </w:rPr>
        <w:t>主管部门应当书面告知申请人评审备案结果，并</w:t>
      </w:r>
      <w:r>
        <w:rPr>
          <w:rFonts w:hint="eastAsia" w:eastAsia="方正仿宋_GBK" w:cs="Times New Roman"/>
          <w:color w:val="auto"/>
          <w:kern w:val="0"/>
          <w:sz w:val="32"/>
          <w:szCs w:val="32"/>
          <w:lang w:val="en-US" w:eastAsia="zh-CN"/>
        </w:rPr>
        <w:t>按规定</w:t>
      </w:r>
      <w:r>
        <w:rPr>
          <w:rFonts w:hint="eastAsia" w:ascii="Times New Roman" w:hAnsi="Times New Roman" w:eastAsia="方正仿宋_GBK" w:cs="Times New Roman"/>
          <w:color w:val="auto"/>
          <w:kern w:val="0"/>
          <w:sz w:val="32"/>
          <w:szCs w:val="32"/>
          <w:lang w:val="en-US" w:eastAsia="zh-CN"/>
        </w:rPr>
        <w:t>将</w:t>
      </w:r>
      <w:r>
        <w:rPr>
          <w:rFonts w:hint="eastAsia" w:ascii="Times New Roman" w:hAnsi="Times New Roman" w:eastAsia="方正仿宋_GBK" w:cs="Times New Roman"/>
          <w:color w:val="auto"/>
          <w:kern w:val="0"/>
          <w:sz w:val="32"/>
          <w:szCs w:val="32"/>
        </w:rPr>
        <w:t>矿产资源储量评审备案信息表纳入矿产资源储量数据库。</w:t>
      </w:r>
    </w:p>
    <w:p w14:paraId="42F8A438">
      <w:pPr>
        <w:overflowPunct w:val="0"/>
        <w:snapToGrid w:val="0"/>
        <w:spacing w:beforeLines="0" w:afterLines="0" w:line="594"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（十</w:t>
      </w:r>
      <w:r>
        <w:rPr>
          <w:rFonts w:hint="eastAsia" w:ascii="Times New Roman" w:hAnsi="Times New Roman" w:eastAsia="方正仿宋_GBK" w:cs="Times New Roman"/>
          <w:color w:val="auto"/>
          <w:sz w:val="32"/>
          <w:szCs w:val="32"/>
          <w:lang w:eastAsia="zh-CN"/>
        </w:rPr>
        <w:t>三</w:t>
      </w:r>
      <w:r>
        <w:rPr>
          <w:rFonts w:ascii="Times New Roman" w:hAnsi="Times New Roman" w:eastAsia="方正仿宋_GBK" w:cs="Times New Roman"/>
          <w:color w:val="auto"/>
          <w:sz w:val="32"/>
          <w:szCs w:val="32"/>
        </w:rPr>
        <w:t>）规划自然资源主管部门应当按照矿产资源储量评审备案权限向社会公开评审备案情况，但涉及国家秘密的除外。任何单位和个人不得擅自发布矿产资源储量成果信息。</w:t>
      </w:r>
    </w:p>
    <w:p w14:paraId="297E35E5">
      <w:pPr>
        <w:pStyle w:val="10"/>
        <w:overflowPunct w:val="0"/>
        <w:snapToGrid w:val="0"/>
        <w:spacing w:beforeLines="0" w:after="0" w:afterLines="0" w:line="594" w:lineRule="exact"/>
        <w:ind w:firstLine="64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已经评审备案的，经查申请材料不真实或者弄虚作假的，规划自然资源主管部门应当按照程序撤销评审备案结果。</w:t>
      </w:r>
    </w:p>
    <w:p w14:paraId="6CFD2EE5">
      <w:pPr>
        <w:overflowPunct w:val="0"/>
        <w:snapToGrid w:val="0"/>
        <w:spacing w:beforeLines="0" w:afterLines="0" w:line="594" w:lineRule="exact"/>
        <w:ind w:firstLine="640" w:firstLineChars="200"/>
        <w:rPr>
          <w:rFonts w:hint="default" w:ascii="Times New Roman" w:hAnsi="Times New Roman" w:eastAsia="方正黑体_GBK" w:cs="方正黑体_GBK"/>
          <w:color w:val="auto"/>
          <w:kern w:val="0"/>
          <w:sz w:val="32"/>
          <w:szCs w:val="32"/>
          <w:lang w:val="en-US" w:eastAsia="zh-CN"/>
        </w:rPr>
      </w:pPr>
      <w:r>
        <w:rPr>
          <w:rFonts w:hint="eastAsia" w:ascii="Times New Roman" w:hAnsi="Times New Roman" w:eastAsia="方正黑体_GBK" w:cs="方正黑体_GBK"/>
          <w:color w:val="auto"/>
          <w:kern w:val="0"/>
          <w:sz w:val="32"/>
          <w:szCs w:val="32"/>
          <w:lang w:val="en-US" w:eastAsia="zh-CN"/>
        </w:rPr>
        <w:t>三、抓好</w:t>
      </w:r>
      <w:r>
        <w:rPr>
          <w:rFonts w:hint="eastAsia" w:ascii="Times New Roman" w:hAnsi="Times New Roman" w:eastAsia="方正黑体_GBK" w:cs="方正黑体_GBK"/>
          <w:color w:val="auto"/>
          <w:kern w:val="0"/>
          <w:sz w:val="32"/>
          <w:szCs w:val="32"/>
          <w:highlight w:val="none"/>
          <w:lang w:val="en-US" w:eastAsia="zh-CN"/>
        </w:rPr>
        <w:t>矿产资源储量</w:t>
      </w:r>
      <w:r>
        <w:rPr>
          <w:rFonts w:hint="eastAsia" w:ascii="Times New Roman" w:hAnsi="Times New Roman" w:eastAsia="方正黑体_GBK" w:cs="方正黑体_GBK"/>
          <w:color w:val="auto"/>
          <w:kern w:val="0"/>
          <w:sz w:val="32"/>
          <w:szCs w:val="32"/>
          <w:lang w:val="en-US" w:eastAsia="zh-CN"/>
        </w:rPr>
        <w:t>管理重要环节</w:t>
      </w:r>
    </w:p>
    <w:p w14:paraId="07C0904B">
      <w:pPr>
        <w:overflowPunct w:val="0"/>
        <w:snapToGrid w:val="0"/>
        <w:spacing w:beforeLines="0" w:afterLines="0" w:line="594" w:lineRule="exact"/>
        <w:ind w:firstLine="640" w:firstLineChars="200"/>
        <w:rPr>
          <w:rFonts w:hint="eastAsia" w:ascii="Times New Roman" w:hAnsi="Times New Roman" w:eastAsia="方正仿宋_GBK" w:cs="Times New Roman"/>
          <w:color w:val="auto"/>
          <w:spacing w:val="-6"/>
          <w:kern w:val="0"/>
          <w:sz w:val="32"/>
          <w:szCs w:val="32"/>
          <w:lang w:val="en-US" w:eastAsia="zh-CN"/>
        </w:rPr>
      </w:pPr>
      <w:r>
        <w:rPr>
          <w:rFonts w:hint="eastAsia" w:ascii="Times New Roman" w:hAnsi="Times New Roman" w:eastAsia="方正仿宋_GBK" w:cs="Times New Roman"/>
          <w:color w:val="auto"/>
          <w:kern w:val="0"/>
          <w:sz w:val="32"/>
          <w:szCs w:val="32"/>
          <w:lang w:val="en-US" w:eastAsia="zh-CN"/>
        </w:rPr>
        <w:t>（十四）强化储量评审过程的野外工作核查。规划自然资源主管部门应当结合报告评审对探转采储量报告、采矿权出让技术报告所开展的野外地质工作进行核查，重点对探（控）矿</w:t>
      </w:r>
      <w:r>
        <w:rPr>
          <w:rFonts w:hint="eastAsia" w:ascii="Times New Roman" w:hAnsi="Times New Roman" w:eastAsia="方正仿宋_GBK" w:cs="Times New Roman"/>
          <w:color w:val="auto"/>
          <w:spacing w:val="-6"/>
          <w:kern w:val="0"/>
          <w:sz w:val="32"/>
          <w:szCs w:val="32"/>
          <w:lang w:val="en-US" w:eastAsia="zh-CN"/>
        </w:rPr>
        <w:t>工程、原始地质资料（含影像资料）、采样测试结果等进行抽查。</w:t>
      </w:r>
    </w:p>
    <w:p w14:paraId="3219F7AF">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eastAsia="zh-CN"/>
        </w:rPr>
      </w:pPr>
      <w:r>
        <w:rPr>
          <w:rFonts w:hint="eastAsia" w:ascii="Times New Roman" w:hAnsi="Times New Roman" w:eastAsia="方正仿宋_GBK" w:cs="Times New Roman"/>
          <w:color w:val="auto"/>
          <w:kern w:val="0"/>
          <w:sz w:val="32"/>
          <w:szCs w:val="32"/>
          <w:lang w:val="en-US" w:eastAsia="zh-CN"/>
        </w:rPr>
        <w:t>（十五）准确判定评审备案范围。探矿权保留、变更矿种，探矿权和采矿权延续、转让、出让，矿山闭坑，以及上市融资等</w:t>
      </w:r>
      <w:r>
        <w:rPr>
          <w:rFonts w:hint="eastAsia" w:eastAsia="方正仿宋_GBK" w:cs="Times New Roman"/>
          <w:color w:val="auto"/>
          <w:kern w:val="0"/>
          <w:sz w:val="32"/>
          <w:szCs w:val="32"/>
          <w:lang w:val="en-US" w:eastAsia="zh-CN"/>
        </w:rPr>
        <w:t>不属于</w:t>
      </w:r>
      <w:r>
        <w:rPr>
          <w:rFonts w:hint="eastAsia" w:ascii="Times New Roman" w:hAnsi="Times New Roman" w:eastAsia="方正仿宋_GBK" w:cs="Times New Roman"/>
          <w:color w:val="auto"/>
          <w:kern w:val="0"/>
          <w:sz w:val="32"/>
          <w:szCs w:val="32"/>
          <w:lang w:val="en-US" w:eastAsia="zh-CN"/>
        </w:rPr>
        <w:t>评审备案</w:t>
      </w:r>
      <w:r>
        <w:rPr>
          <w:rFonts w:hint="eastAsia" w:eastAsia="方正仿宋_GBK" w:cs="Times New Roman"/>
          <w:color w:val="auto"/>
          <w:kern w:val="0"/>
          <w:sz w:val="32"/>
          <w:szCs w:val="32"/>
          <w:lang w:val="en-US" w:eastAsia="zh-CN"/>
        </w:rPr>
        <w:t>范围</w:t>
      </w:r>
      <w:r>
        <w:rPr>
          <w:rFonts w:hint="eastAsia" w:ascii="Times New Roman" w:hAnsi="Times New Roman" w:eastAsia="方正仿宋_GBK" w:cs="Times New Roman"/>
          <w:color w:val="auto"/>
          <w:kern w:val="0"/>
          <w:sz w:val="32"/>
          <w:szCs w:val="32"/>
          <w:lang w:val="en-US" w:eastAsia="zh-CN"/>
        </w:rPr>
        <w:t>。</w:t>
      </w:r>
      <w:r>
        <w:rPr>
          <w:rFonts w:hint="eastAsia" w:ascii="Times New Roman" w:hAnsi="Times New Roman" w:eastAsia="方正仿宋_GBK" w:cs="Times New Roman"/>
          <w:color w:val="auto"/>
          <w:kern w:val="0"/>
          <w:sz w:val="32"/>
          <w:szCs w:val="32"/>
          <w:lang w:eastAsia="zh-CN"/>
        </w:rPr>
        <w:t>对于因采矿权范围与生态红线、自然保护区等范围重叠，井口装置、输油（</w:t>
      </w:r>
      <w:r>
        <w:rPr>
          <w:rFonts w:hint="eastAsia" w:ascii="Times New Roman" w:hAnsi="Times New Roman" w:eastAsia="方正仿宋_GBK" w:cs="Times New Roman"/>
          <w:color w:val="auto"/>
          <w:kern w:val="0"/>
          <w:sz w:val="32"/>
          <w:szCs w:val="32"/>
          <w:lang w:val="en-US" w:eastAsia="zh-CN"/>
        </w:rPr>
        <w:t>气</w:t>
      </w:r>
      <w:r>
        <w:rPr>
          <w:rFonts w:hint="eastAsia" w:ascii="Times New Roman" w:hAnsi="Times New Roman" w:eastAsia="方正仿宋_GBK" w:cs="Times New Roman"/>
          <w:color w:val="auto"/>
          <w:kern w:val="0"/>
          <w:sz w:val="32"/>
          <w:szCs w:val="32"/>
          <w:lang w:eastAsia="zh-CN"/>
        </w:rPr>
        <w:t>）管线（外输管线除外）、集输站、井巷工程设施分布范围或者露天剥离范围变化，采矿权坐标系统转换，引起采矿权范围变更，且采矿权扩大的范围或缩减的范围内保有资源储量变化量符合以下情形之一者：采矿权累计查明资源储量规模大型，变化量不大于采矿权累计查明资源储量1%；采矿权累计查明资源储量规模中型，变化量不大于采矿权累计查明资源储量2%；采矿权累计查明资源储量规模小型，变化量不大于采矿权累计查明资源储量5%；视为资源储量没有发生变化，不要求评审备案。</w:t>
      </w:r>
    </w:p>
    <w:p w14:paraId="2B87B2B5">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十六</w:t>
      </w:r>
      <w:r>
        <w:rPr>
          <w:rFonts w:hint="eastAsia" w:ascii="Times New Roman" w:hAnsi="Times New Roman" w:eastAsia="方正仿宋_GBK" w:cs="Times New Roman"/>
          <w:color w:val="auto"/>
          <w:kern w:val="0"/>
          <w:sz w:val="32"/>
          <w:szCs w:val="32"/>
          <w:lang w:eastAsia="zh-CN"/>
        </w:rPr>
        <w:t>）</w:t>
      </w:r>
      <w:r>
        <w:rPr>
          <w:rFonts w:hint="eastAsia" w:ascii="Times New Roman" w:hAnsi="Times New Roman" w:eastAsia="方正仿宋_GBK" w:cs="Times New Roman"/>
          <w:color w:val="auto"/>
          <w:kern w:val="0"/>
          <w:sz w:val="32"/>
          <w:szCs w:val="32"/>
          <w:lang w:val="en-US" w:eastAsia="zh-CN"/>
        </w:rPr>
        <w:t>全面监测矿山储量动态变化，</w:t>
      </w:r>
      <w:r>
        <w:rPr>
          <w:rFonts w:hint="eastAsia" w:ascii="Times New Roman" w:hAnsi="Times New Roman" w:eastAsia="方正仿宋_GBK" w:cs="Times New Roman"/>
          <w:color w:val="auto"/>
          <w:kern w:val="0"/>
          <w:sz w:val="32"/>
          <w:szCs w:val="32"/>
        </w:rPr>
        <w:t>区县（自治县）规划自然资源</w:t>
      </w:r>
      <w:r>
        <w:rPr>
          <w:rFonts w:hint="eastAsia" w:eastAsia="方正仿宋_GBK" w:cs="Times New Roman"/>
          <w:color w:val="auto"/>
          <w:kern w:val="0"/>
          <w:sz w:val="32"/>
          <w:szCs w:val="32"/>
          <w:lang w:eastAsia="zh-CN"/>
        </w:rPr>
        <w:t>局</w:t>
      </w:r>
      <w:r>
        <w:rPr>
          <w:rFonts w:hint="eastAsia" w:ascii="Times New Roman" w:hAnsi="Times New Roman" w:eastAsia="方正仿宋_GBK" w:cs="Times New Roman"/>
          <w:color w:val="auto"/>
          <w:kern w:val="0"/>
          <w:sz w:val="32"/>
          <w:szCs w:val="32"/>
          <w:lang w:val="en-US" w:eastAsia="zh-CN"/>
        </w:rPr>
        <w:t>通过日常巡查、实地核查、矿山储量年报审查等手段，</w:t>
      </w:r>
      <w:r>
        <w:rPr>
          <w:rFonts w:hint="eastAsia" w:eastAsia="方正仿宋_GBK" w:cs="Times New Roman"/>
          <w:color w:val="auto"/>
          <w:kern w:val="0"/>
          <w:sz w:val="32"/>
          <w:szCs w:val="32"/>
          <w:lang w:val="en-US" w:eastAsia="zh-CN"/>
        </w:rPr>
        <w:t>监测</w:t>
      </w:r>
      <w:r>
        <w:rPr>
          <w:rFonts w:hint="eastAsia" w:ascii="Times New Roman" w:hAnsi="Times New Roman" w:eastAsia="方正仿宋_GBK" w:cs="Times New Roman"/>
          <w:color w:val="auto"/>
          <w:kern w:val="0"/>
          <w:sz w:val="32"/>
          <w:szCs w:val="32"/>
        </w:rPr>
        <w:t>辖区内</w:t>
      </w:r>
      <w:r>
        <w:rPr>
          <w:rFonts w:hint="eastAsia" w:ascii="Times New Roman" w:hAnsi="Times New Roman" w:eastAsia="方正仿宋_GBK" w:cs="Times New Roman"/>
          <w:color w:val="auto"/>
          <w:kern w:val="0"/>
          <w:sz w:val="32"/>
          <w:szCs w:val="32"/>
          <w:lang w:val="en-US" w:eastAsia="zh-CN"/>
        </w:rPr>
        <w:t>矿山储量动态变化。发现矿山企业采矿期间累计查明资源量发生重大变化（超过30%</w:t>
      </w:r>
      <w:r>
        <w:rPr>
          <w:rFonts w:hint="eastAsia" w:ascii="Times New Roman" w:hAnsi="Times New Roman" w:eastAsia="方正仿宋_GBK" w:cs="Times New Roman"/>
          <w:color w:val="auto"/>
          <w:kern w:val="0"/>
          <w:sz w:val="32"/>
          <w:szCs w:val="32"/>
          <w:lang w:val="en-US"/>
        </w:rPr>
        <w:t>或达到中型规模以上</w:t>
      </w:r>
      <w:r>
        <w:rPr>
          <w:rFonts w:hint="eastAsia" w:ascii="Times New Roman" w:hAnsi="Times New Roman" w:eastAsia="方正仿宋_GBK" w:cs="Times New Roman"/>
          <w:color w:val="auto"/>
          <w:kern w:val="0"/>
          <w:sz w:val="32"/>
          <w:szCs w:val="32"/>
          <w:lang w:val="en-US" w:eastAsia="zh-CN"/>
        </w:rPr>
        <w:t>）的，矿业权人应当编制储量核实报告并申请评审备案。</w:t>
      </w:r>
    </w:p>
    <w:p w14:paraId="2087B989">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lang w:val="en-US" w:eastAsia="zh-CN"/>
        </w:rPr>
      </w:pPr>
      <w:r>
        <w:rPr>
          <w:rFonts w:hint="eastAsia" w:ascii="Times New Roman" w:hAnsi="Times New Roman" w:eastAsia="方正仿宋_GBK" w:cs="Times New Roman"/>
          <w:color w:val="auto"/>
          <w:kern w:val="0"/>
          <w:sz w:val="32"/>
          <w:szCs w:val="32"/>
          <w:lang w:val="en-US" w:eastAsia="zh-CN"/>
        </w:rPr>
        <w:t>市规划自然资源</w:t>
      </w:r>
      <w:r>
        <w:rPr>
          <w:rFonts w:hint="eastAsia" w:eastAsia="方正仿宋_GBK" w:cs="Times New Roman"/>
          <w:color w:val="auto"/>
          <w:kern w:val="0"/>
          <w:sz w:val="32"/>
          <w:szCs w:val="32"/>
          <w:lang w:val="en-US" w:eastAsia="zh-CN"/>
        </w:rPr>
        <w:t>局</w:t>
      </w:r>
      <w:r>
        <w:rPr>
          <w:rFonts w:hint="eastAsia" w:ascii="Times New Roman" w:hAnsi="Times New Roman" w:eastAsia="方正仿宋_GBK" w:cs="Times New Roman"/>
          <w:color w:val="auto"/>
          <w:kern w:val="0"/>
          <w:sz w:val="32"/>
          <w:szCs w:val="32"/>
          <w:lang w:val="en-US" w:eastAsia="zh-CN"/>
        </w:rPr>
        <w:t>通过矿产资源储量统计质量监控工作，对区县填报的统计数据进行抽查，必要时</w:t>
      </w:r>
      <w:r>
        <w:rPr>
          <w:rFonts w:hint="eastAsia" w:eastAsia="方正仿宋_GBK" w:cs="Times New Roman"/>
          <w:color w:val="auto"/>
          <w:kern w:val="0"/>
          <w:sz w:val="32"/>
          <w:szCs w:val="32"/>
          <w:lang w:val="en-US" w:eastAsia="zh-CN"/>
        </w:rPr>
        <w:t>应由区县（自治县）规划自然资源局组织</w:t>
      </w:r>
      <w:r>
        <w:rPr>
          <w:rFonts w:hint="eastAsia" w:ascii="Times New Roman" w:hAnsi="Times New Roman" w:eastAsia="方正仿宋_GBK" w:cs="Times New Roman"/>
          <w:color w:val="auto"/>
          <w:kern w:val="0"/>
          <w:sz w:val="32"/>
          <w:szCs w:val="32"/>
          <w:lang w:val="en-US" w:eastAsia="zh-CN"/>
        </w:rPr>
        <w:t>核实。</w:t>
      </w:r>
    </w:p>
    <w:p w14:paraId="005194C1">
      <w:pPr>
        <w:numPr>
          <w:ilvl w:val="-1"/>
          <w:numId w:val="0"/>
        </w:numPr>
        <w:overflowPunct w:val="0"/>
        <w:snapToGrid w:val="0"/>
        <w:spacing w:beforeLines="0" w:afterLines="0" w:line="594" w:lineRule="exact"/>
        <w:ind w:firstLine="640" w:firstLineChars="200"/>
        <w:rPr>
          <w:rFonts w:hint="eastAsia" w:ascii="Times New Roman" w:hAnsi="Times New Roman" w:eastAsia="方正仿宋_GBK" w:cs="Times New Roman"/>
          <w:color w:val="auto"/>
          <w:spacing w:val="-6"/>
          <w:kern w:val="0"/>
          <w:sz w:val="32"/>
          <w:szCs w:val="32"/>
          <w:highlight w:val="none"/>
          <w:u w:val="none"/>
        </w:rPr>
      </w:pPr>
      <w:r>
        <w:rPr>
          <w:rFonts w:hint="eastAsia" w:ascii="Times New Roman" w:hAnsi="Times New Roman" w:eastAsia="方正仿宋_GBK" w:cs="Times New Roman"/>
          <w:color w:val="auto"/>
          <w:kern w:val="0"/>
          <w:sz w:val="32"/>
          <w:szCs w:val="32"/>
          <w:highlight w:val="none"/>
          <w:u w:val="none"/>
        </w:rPr>
        <w:t>（十七）建设单位应当统筹矿产资源保护和项目建设，在项目选址前开展压覆矿产资源查询和调查，战略性矿产资源和矿产资源储备矿产地原则上不得压覆。政府投资建设项目，应在立项建议书阶段进行压覆矿产资源查询与调查，可行性研究阶段进行压覆矿产资源评估；其他需核准或备案的企业投资建设项目，需在可行性研究阶段进行压覆矿产资源的查询与调查，核准和备案阶段进行压覆矿产资源评估。</w:t>
      </w:r>
      <w:r>
        <w:rPr>
          <w:rFonts w:hint="eastAsia" w:ascii="方正仿宋_GBK" w:hAnsi="方正仿宋_GBK" w:eastAsia="方正仿宋_GBK" w:cs="方正仿宋_GBK"/>
          <w:color w:val="auto"/>
          <w:sz w:val="32"/>
          <w:szCs w:val="32"/>
          <w:lang w:val="en-US" w:eastAsia="zh-CN"/>
        </w:rPr>
        <w:t>重要矿产资源包括战</w:t>
      </w:r>
      <w:r>
        <w:rPr>
          <w:rFonts w:hint="eastAsia" w:ascii="方正仿宋_GBK" w:hAnsi="方正仿宋_GBK" w:eastAsia="方正仿宋_GBK" w:cs="方正仿宋_GBK"/>
          <w:color w:val="auto"/>
          <w:spacing w:val="-6"/>
          <w:sz w:val="32"/>
          <w:szCs w:val="32"/>
          <w:lang w:val="en-US" w:eastAsia="zh-CN"/>
        </w:rPr>
        <w:t>略性矿产以及</w:t>
      </w:r>
      <w:r>
        <w:rPr>
          <w:rFonts w:hint="eastAsia" w:ascii="方正仿宋_GBK" w:hAnsi="方正仿宋_GBK" w:eastAsia="方正仿宋_GBK" w:cs="方正仿宋_GBK"/>
          <w:b w:val="0"/>
          <w:color w:val="auto"/>
          <w:spacing w:val="-6"/>
          <w:sz w:val="32"/>
          <w:szCs w:val="32"/>
        </w:rPr>
        <w:t>《矿产资源开采登记管理办法》附录所列</w:t>
      </w:r>
      <w:r>
        <w:rPr>
          <w:rFonts w:hint="eastAsia" w:ascii="方正仿宋_GBK" w:hAnsi="方正仿宋_GBK" w:eastAsia="方正仿宋_GBK" w:cs="方正仿宋_GBK"/>
          <w:b w:val="0"/>
          <w:color w:val="auto"/>
          <w:spacing w:val="-6"/>
          <w:sz w:val="32"/>
          <w:szCs w:val="32"/>
          <w:lang w:eastAsia="zh-CN"/>
        </w:rPr>
        <w:t>其他矿种。</w:t>
      </w:r>
    </w:p>
    <w:p w14:paraId="64F60044">
      <w:pPr>
        <w:numPr>
          <w:ilvl w:val="-1"/>
          <w:numId w:val="0"/>
        </w:numPr>
        <w:overflowPunct w:val="0"/>
        <w:snapToGrid w:val="0"/>
        <w:spacing w:beforeLines="0" w:afterLines="0" w:line="594" w:lineRule="exact"/>
        <w:ind w:firstLine="640" w:firstLineChars="200"/>
        <w:outlineLvl w:val="9"/>
        <w:rPr>
          <w:rFonts w:hint="eastAsia" w:ascii="Times New Roman" w:hAnsi="Times New Roman" w:eastAsia="方正仿宋_GBK" w:cs="Times New Roman"/>
          <w:color w:val="auto"/>
          <w:kern w:val="0"/>
          <w:sz w:val="32"/>
          <w:szCs w:val="32"/>
          <w:highlight w:val="none"/>
          <w:u w:val="none"/>
        </w:rPr>
      </w:pPr>
      <w:r>
        <w:rPr>
          <w:rFonts w:hint="eastAsia" w:ascii="Times New Roman" w:hAnsi="Times New Roman" w:eastAsia="方正仿宋_GBK" w:cs="Times New Roman"/>
          <w:color w:val="auto"/>
          <w:kern w:val="0"/>
          <w:sz w:val="32"/>
          <w:szCs w:val="32"/>
          <w:highlight w:val="none"/>
          <w:u w:val="none"/>
        </w:rPr>
        <w:t>建设项目</w:t>
      </w:r>
      <w:r>
        <w:rPr>
          <w:rFonts w:hint="eastAsia" w:eastAsia="方正仿宋_GBK" w:cs="Times New Roman"/>
          <w:color w:val="auto"/>
          <w:kern w:val="0"/>
          <w:sz w:val="32"/>
          <w:szCs w:val="32"/>
          <w:highlight w:val="none"/>
          <w:u w:val="none"/>
          <w:lang w:eastAsia="zh-CN"/>
        </w:rPr>
        <w:t>确需压覆重要矿产资源的，应由具</w:t>
      </w:r>
      <w:r>
        <w:rPr>
          <w:rFonts w:hint="eastAsia" w:ascii="Times New Roman" w:hAnsi="Times New Roman" w:eastAsia="方正仿宋_GBK" w:cs="Times New Roman"/>
          <w:color w:val="auto"/>
          <w:kern w:val="0"/>
          <w:sz w:val="32"/>
          <w:szCs w:val="32"/>
          <w:highlight w:val="none"/>
          <w:u w:val="none"/>
        </w:rPr>
        <w:t>有相应能力单位</w:t>
      </w:r>
      <w:r>
        <w:rPr>
          <w:rFonts w:hint="eastAsia" w:eastAsia="方正仿宋_GBK" w:cs="Times New Roman"/>
          <w:color w:val="auto"/>
          <w:kern w:val="0"/>
          <w:sz w:val="32"/>
          <w:szCs w:val="32"/>
          <w:highlight w:val="none"/>
          <w:u w:val="none"/>
          <w:lang w:eastAsia="zh-CN"/>
        </w:rPr>
        <w:t>进行</w:t>
      </w:r>
      <w:r>
        <w:rPr>
          <w:rFonts w:hint="eastAsia" w:ascii="Times New Roman" w:hAnsi="Times New Roman" w:eastAsia="方正仿宋_GBK" w:cs="Times New Roman"/>
          <w:color w:val="auto"/>
          <w:kern w:val="0"/>
          <w:sz w:val="32"/>
          <w:szCs w:val="32"/>
          <w:highlight w:val="none"/>
          <w:u w:val="none"/>
        </w:rPr>
        <w:t>论证，确定压覆范围，估算压覆范围内查明</w:t>
      </w:r>
      <w:r>
        <w:rPr>
          <w:rFonts w:hint="eastAsia" w:eastAsia="方正仿宋_GBK" w:cs="Times New Roman"/>
          <w:color w:val="auto"/>
          <w:kern w:val="0"/>
          <w:sz w:val="32"/>
          <w:szCs w:val="32"/>
          <w:highlight w:val="none"/>
          <w:u w:val="none"/>
          <w:lang w:eastAsia="zh-CN"/>
        </w:rPr>
        <w:t>矿产资源</w:t>
      </w:r>
      <w:r>
        <w:rPr>
          <w:rFonts w:hint="eastAsia" w:ascii="Times New Roman" w:hAnsi="Times New Roman" w:eastAsia="方正仿宋_GBK" w:cs="Times New Roman"/>
          <w:color w:val="auto"/>
          <w:kern w:val="0"/>
          <w:sz w:val="32"/>
          <w:szCs w:val="32"/>
          <w:highlight w:val="none"/>
          <w:u w:val="none"/>
        </w:rPr>
        <w:t>量，</w:t>
      </w:r>
      <w:r>
        <w:rPr>
          <w:rFonts w:hint="eastAsia" w:ascii="方正仿宋_GBK" w:hAnsi="方正仿宋_GBK" w:eastAsia="方正仿宋_GBK" w:cs="方正仿宋_GBK"/>
          <w:color w:val="auto"/>
          <w:sz w:val="32"/>
          <w:szCs w:val="32"/>
          <w:lang w:val="en-US" w:eastAsia="zh-CN"/>
        </w:rPr>
        <w:t>按规定报市规划自然资源局审批，应报自然资源部审批的情形除外。</w:t>
      </w:r>
    </w:p>
    <w:p w14:paraId="75E1FCD3">
      <w:pPr>
        <w:overflowPunct w:val="0"/>
        <w:snapToGrid w:val="0"/>
        <w:spacing w:beforeLines="0" w:afterLines="0" w:line="594" w:lineRule="exact"/>
        <w:ind w:firstLine="640" w:firstLineChars="200"/>
        <w:rPr>
          <w:rFonts w:hint="eastAsia" w:ascii="Times New Roman" w:hAnsi="Times New Roman" w:eastAsia="方正黑体_GBK" w:cs="方正黑体_GBK"/>
          <w:color w:val="auto"/>
          <w:kern w:val="0"/>
          <w:sz w:val="32"/>
          <w:szCs w:val="32"/>
          <w:highlight w:val="none"/>
        </w:rPr>
      </w:pPr>
      <w:r>
        <w:rPr>
          <w:rFonts w:hint="eastAsia" w:ascii="Times New Roman" w:hAnsi="Times New Roman" w:eastAsia="方正黑体_GBK" w:cs="方正黑体_GBK"/>
          <w:color w:val="auto"/>
          <w:kern w:val="0"/>
          <w:sz w:val="32"/>
          <w:szCs w:val="32"/>
          <w:highlight w:val="none"/>
          <w:lang w:eastAsia="zh-CN"/>
        </w:rPr>
        <w:t>四</w:t>
      </w:r>
      <w:r>
        <w:rPr>
          <w:rFonts w:hint="eastAsia" w:ascii="Times New Roman" w:hAnsi="Times New Roman" w:eastAsia="方正黑体_GBK" w:cs="方正黑体_GBK"/>
          <w:color w:val="auto"/>
          <w:kern w:val="0"/>
          <w:sz w:val="32"/>
          <w:szCs w:val="32"/>
          <w:highlight w:val="none"/>
        </w:rPr>
        <w:t>、</w:t>
      </w:r>
      <w:r>
        <w:rPr>
          <w:rFonts w:hint="eastAsia" w:ascii="Times New Roman" w:hAnsi="Times New Roman" w:eastAsia="方正黑体_GBK" w:cs="方正黑体_GBK"/>
          <w:color w:val="auto"/>
          <w:kern w:val="0"/>
          <w:sz w:val="32"/>
          <w:szCs w:val="32"/>
          <w:highlight w:val="none"/>
          <w:lang w:val="en-US" w:eastAsia="zh-CN"/>
        </w:rPr>
        <w:t>严格矿产资源储量报告</w:t>
      </w:r>
      <w:r>
        <w:rPr>
          <w:rFonts w:hint="eastAsia" w:ascii="Times New Roman" w:hAnsi="Times New Roman" w:eastAsia="方正黑体_GBK" w:cs="方正黑体_GBK"/>
          <w:color w:val="auto"/>
          <w:kern w:val="0"/>
          <w:sz w:val="32"/>
          <w:szCs w:val="32"/>
          <w:highlight w:val="none"/>
        </w:rPr>
        <w:t>质量责任追究</w:t>
      </w:r>
    </w:p>
    <w:p w14:paraId="45CFDEB8">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highlight w:val="none"/>
        </w:rPr>
      </w:pPr>
      <w:r>
        <w:rPr>
          <w:rFonts w:hint="eastAsia" w:ascii="Times New Roman" w:hAnsi="Times New Roman" w:eastAsia="方正仿宋_GBK" w:cs="Times New Roman"/>
          <w:color w:val="auto"/>
          <w:kern w:val="0"/>
          <w:sz w:val="32"/>
          <w:szCs w:val="32"/>
          <w:highlight w:val="none"/>
        </w:rPr>
        <w:t>（</w:t>
      </w:r>
      <w:r>
        <w:rPr>
          <w:rFonts w:hint="eastAsia" w:ascii="Times New Roman" w:hAnsi="Times New Roman" w:eastAsia="方正仿宋_GBK" w:cs="Times New Roman"/>
          <w:color w:val="auto"/>
          <w:kern w:val="0"/>
          <w:sz w:val="32"/>
          <w:szCs w:val="32"/>
          <w:highlight w:val="none"/>
          <w:lang w:val="en-US" w:eastAsia="zh-CN"/>
        </w:rPr>
        <w:t>十八</w:t>
      </w:r>
      <w:r>
        <w:rPr>
          <w:rFonts w:hint="eastAsia" w:ascii="Times New Roman" w:hAnsi="Times New Roman" w:eastAsia="方正仿宋_GBK" w:cs="Times New Roman"/>
          <w:color w:val="auto"/>
          <w:kern w:val="0"/>
          <w:sz w:val="32"/>
          <w:szCs w:val="32"/>
          <w:highlight w:val="none"/>
        </w:rPr>
        <w:t>）</w:t>
      </w:r>
      <w:r>
        <w:rPr>
          <w:rFonts w:hint="eastAsia" w:ascii="Times New Roman" w:hAnsi="Times New Roman" w:eastAsia="方正仿宋_GBK" w:cs="Times New Roman"/>
          <w:color w:val="auto"/>
          <w:kern w:val="0"/>
          <w:sz w:val="32"/>
          <w:szCs w:val="32"/>
          <w:highlight w:val="none"/>
          <w:lang w:eastAsia="zh-CN"/>
        </w:rPr>
        <w:t>矿业权人或</w:t>
      </w:r>
      <w:r>
        <w:rPr>
          <w:rFonts w:hint="eastAsia" w:ascii="Times New Roman" w:hAnsi="Times New Roman" w:eastAsia="方正仿宋_GBK" w:cs="Times New Roman"/>
          <w:color w:val="auto"/>
          <w:kern w:val="0"/>
          <w:sz w:val="32"/>
          <w:szCs w:val="32"/>
          <w:highlight w:val="none"/>
          <w:lang w:val="en-US" w:eastAsia="zh-CN"/>
        </w:rPr>
        <w:t>编制单位对储量报告的真实性、准确性负责。在勘查及储量报告编制过程中存在</w:t>
      </w:r>
      <w:r>
        <w:rPr>
          <w:rFonts w:hint="eastAsia" w:ascii="Times New Roman" w:hAnsi="Times New Roman" w:eastAsia="方正仿宋_GBK" w:cs="Times New Roman"/>
          <w:color w:val="auto"/>
          <w:kern w:val="0"/>
          <w:sz w:val="32"/>
          <w:szCs w:val="32"/>
          <w:highlight w:val="none"/>
        </w:rPr>
        <w:t>弄虚作假</w:t>
      </w:r>
      <w:r>
        <w:rPr>
          <w:rFonts w:hint="eastAsia" w:ascii="Times New Roman" w:hAnsi="Times New Roman" w:eastAsia="方正仿宋_GBK" w:cs="Times New Roman"/>
          <w:color w:val="auto"/>
          <w:kern w:val="0"/>
          <w:sz w:val="32"/>
          <w:szCs w:val="32"/>
          <w:highlight w:val="none"/>
          <w:lang w:val="en-US" w:eastAsia="zh-CN"/>
        </w:rPr>
        <w:t>等违规行为的，按照矿业权人勘查开采信息管理</w:t>
      </w:r>
      <w:r>
        <w:rPr>
          <w:rFonts w:hint="eastAsia" w:eastAsia="方正仿宋_GBK" w:cs="Times New Roman"/>
          <w:color w:val="auto"/>
          <w:kern w:val="0"/>
          <w:sz w:val="32"/>
          <w:szCs w:val="32"/>
          <w:highlight w:val="none"/>
          <w:lang w:val="en-US" w:eastAsia="zh-CN"/>
        </w:rPr>
        <w:t>、</w:t>
      </w:r>
      <w:r>
        <w:rPr>
          <w:rFonts w:hint="eastAsia" w:ascii="Times New Roman" w:hAnsi="Times New Roman" w:eastAsia="方正仿宋_GBK" w:cs="Times New Roman"/>
          <w:color w:val="auto"/>
          <w:kern w:val="0"/>
          <w:sz w:val="32"/>
          <w:szCs w:val="32"/>
          <w:highlight w:val="none"/>
          <w:lang w:val="en-US" w:eastAsia="zh-CN"/>
        </w:rPr>
        <w:t>地质勘查活动监督管理有关规定纳入异常名录。存在违法行为的，规划自然资源主管部门应当及时立案查处。构成犯罪的，应当将案件移送有关机关，</w:t>
      </w:r>
      <w:r>
        <w:rPr>
          <w:rFonts w:hint="eastAsia" w:ascii="Times New Roman" w:hAnsi="Times New Roman" w:eastAsia="方正仿宋_GBK" w:cs="Times New Roman"/>
          <w:color w:val="auto"/>
          <w:kern w:val="0"/>
          <w:sz w:val="32"/>
          <w:szCs w:val="32"/>
        </w:rPr>
        <w:t>依法依规</w:t>
      </w:r>
      <w:r>
        <w:rPr>
          <w:rFonts w:hint="eastAsia" w:ascii="Times New Roman" w:hAnsi="Times New Roman" w:eastAsia="方正仿宋_GBK" w:cs="Times New Roman"/>
          <w:color w:val="auto"/>
          <w:kern w:val="0"/>
          <w:sz w:val="32"/>
          <w:szCs w:val="32"/>
          <w:highlight w:val="none"/>
          <w:lang w:val="en-US" w:eastAsia="zh-CN"/>
        </w:rPr>
        <w:t>追究责任。</w:t>
      </w:r>
    </w:p>
    <w:p w14:paraId="2DABCCC0">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highlight w:val="none"/>
        </w:rPr>
        <w:t>（</w:t>
      </w:r>
      <w:r>
        <w:rPr>
          <w:rFonts w:hint="eastAsia" w:ascii="Times New Roman" w:hAnsi="Times New Roman" w:eastAsia="方正仿宋_GBK" w:cs="Times New Roman"/>
          <w:color w:val="auto"/>
          <w:kern w:val="0"/>
          <w:sz w:val="32"/>
          <w:szCs w:val="32"/>
          <w:highlight w:val="none"/>
          <w:lang w:val="en-US" w:eastAsia="zh-CN"/>
        </w:rPr>
        <w:t>十九</w:t>
      </w:r>
      <w:r>
        <w:rPr>
          <w:rFonts w:hint="eastAsia" w:ascii="Times New Roman" w:hAnsi="Times New Roman" w:eastAsia="方正仿宋_GBK" w:cs="Times New Roman"/>
          <w:color w:val="auto"/>
          <w:kern w:val="0"/>
          <w:sz w:val="32"/>
          <w:szCs w:val="32"/>
          <w:highlight w:val="none"/>
        </w:rPr>
        <w:t>）矿产资源储量评审机构对评审流程和评审意见书（附件</w:t>
      </w:r>
      <w:r>
        <w:rPr>
          <w:rFonts w:hint="eastAsia" w:ascii="Times New Roman" w:hAnsi="Times New Roman" w:eastAsia="方正仿宋_GBK" w:cs="Times New Roman"/>
          <w:color w:val="auto"/>
          <w:kern w:val="0"/>
          <w:sz w:val="32"/>
          <w:szCs w:val="32"/>
          <w:highlight w:val="none"/>
          <w:lang w:val="en-US" w:eastAsia="zh-CN"/>
        </w:rPr>
        <w:t>3</w:t>
      </w:r>
      <w:r>
        <w:rPr>
          <w:rFonts w:hint="eastAsia" w:ascii="Times New Roman" w:hAnsi="Times New Roman" w:eastAsia="方正仿宋_GBK" w:cs="Times New Roman"/>
          <w:color w:val="auto"/>
          <w:kern w:val="0"/>
          <w:sz w:val="32"/>
          <w:szCs w:val="32"/>
          <w:highlight w:val="none"/>
        </w:rPr>
        <w:t>）的合规性、客观性、完整性负责</w:t>
      </w:r>
      <w:r>
        <w:rPr>
          <w:rFonts w:hint="eastAsia" w:ascii="Times New Roman" w:hAnsi="Times New Roman" w:eastAsia="方正仿宋_GBK" w:cs="Times New Roman"/>
          <w:color w:val="auto"/>
          <w:kern w:val="0"/>
          <w:sz w:val="32"/>
          <w:szCs w:val="32"/>
          <w:highlight w:val="none"/>
          <w:lang w:eastAsia="zh-CN"/>
        </w:rPr>
        <w:t>。</w:t>
      </w:r>
      <w:r>
        <w:rPr>
          <w:rFonts w:hint="eastAsia" w:ascii="Times New Roman" w:hAnsi="Times New Roman" w:eastAsia="方正仿宋_GBK" w:cs="Times New Roman"/>
          <w:color w:val="auto"/>
          <w:kern w:val="0"/>
          <w:sz w:val="32"/>
          <w:szCs w:val="32"/>
          <w:highlight w:val="none"/>
        </w:rPr>
        <w:t>未按</w:t>
      </w:r>
      <w:r>
        <w:rPr>
          <w:rFonts w:hint="eastAsia" w:ascii="Times New Roman" w:hAnsi="Times New Roman" w:eastAsia="方正仿宋_GBK" w:cs="Times New Roman"/>
          <w:color w:val="auto"/>
          <w:kern w:val="0"/>
          <w:sz w:val="32"/>
          <w:szCs w:val="32"/>
          <w:highlight w:val="none"/>
          <w:lang w:eastAsia="zh-CN"/>
        </w:rPr>
        <w:t>照</w:t>
      </w:r>
      <w:r>
        <w:rPr>
          <w:rFonts w:hint="eastAsia" w:ascii="Times New Roman" w:hAnsi="Times New Roman" w:eastAsia="方正仿宋_GBK" w:cs="Times New Roman"/>
          <w:color w:val="auto"/>
          <w:kern w:val="0"/>
          <w:sz w:val="32"/>
          <w:szCs w:val="32"/>
          <w:highlight w:val="none"/>
        </w:rPr>
        <w:t>相关规定开展工作造成不良影响的或在矿产资源储量报告审查工作中把关不严的，规划自然资</w:t>
      </w:r>
      <w:r>
        <w:rPr>
          <w:rFonts w:hint="eastAsia" w:ascii="Times New Roman" w:hAnsi="Times New Roman" w:eastAsia="方正仿宋_GBK" w:cs="Times New Roman"/>
          <w:color w:val="auto"/>
          <w:kern w:val="0"/>
          <w:sz w:val="32"/>
          <w:szCs w:val="32"/>
        </w:rPr>
        <w:t>源主管部门予以通报；情节严重的，停止其相关业务，依法依规追究责任。</w:t>
      </w:r>
    </w:p>
    <w:p w14:paraId="55C38EDA">
      <w:pPr>
        <w:overflowPunct w:val="0"/>
        <w:snapToGrid w:val="0"/>
        <w:spacing w:beforeLines="0" w:afterLines="0" w:line="594" w:lineRule="exact"/>
        <w:ind w:firstLine="640" w:firstLineChars="200"/>
        <w:rPr>
          <w:rFonts w:hint="eastAsia"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w:t>
      </w:r>
      <w:r>
        <w:rPr>
          <w:rFonts w:hint="eastAsia" w:ascii="Times New Roman" w:hAnsi="Times New Roman" w:eastAsia="方正仿宋_GBK" w:cs="Times New Roman"/>
          <w:color w:val="auto"/>
          <w:kern w:val="0"/>
          <w:sz w:val="32"/>
          <w:szCs w:val="32"/>
          <w:lang w:eastAsia="zh-CN"/>
        </w:rPr>
        <w:t>二</w:t>
      </w:r>
      <w:r>
        <w:rPr>
          <w:rFonts w:hint="eastAsia" w:ascii="Times New Roman" w:hAnsi="Times New Roman" w:eastAsia="方正仿宋_GBK" w:cs="Times New Roman"/>
          <w:color w:val="auto"/>
          <w:kern w:val="0"/>
          <w:sz w:val="32"/>
          <w:szCs w:val="32"/>
          <w:lang w:val="en-US" w:eastAsia="zh-CN"/>
        </w:rPr>
        <w:t>十</w:t>
      </w:r>
      <w:r>
        <w:rPr>
          <w:rFonts w:hint="eastAsia" w:ascii="Times New Roman" w:hAnsi="Times New Roman" w:eastAsia="方正仿宋_GBK" w:cs="Times New Roman"/>
          <w:color w:val="auto"/>
          <w:kern w:val="0"/>
          <w:sz w:val="32"/>
          <w:szCs w:val="32"/>
        </w:rPr>
        <w:t>）评审专家对储量报告进行技术把关，</w:t>
      </w:r>
      <w:r>
        <w:rPr>
          <w:rFonts w:hint="eastAsia" w:ascii="Times New Roman" w:hAnsi="Times New Roman" w:eastAsia="方正仿宋_GBK" w:cs="Times New Roman"/>
          <w:color w:val="auto"/>
          <w:kern w:val="0"/>
          <w:sz w:val="32"/>
          <w:szCs w:val="32"/>
          <w:lang w:val="en-US" w:eastAsia="zh-CN"/>
        </w:rPr>
        <w:t>对个人评审意见的客观性、真实性、完整性负责</w:t>
      </w:r>
      <w:r>
        <w:rPr>
          <w:rFonts w:hint="eastAsia" w:ascii="Times New Roman" w:hAnsi="Times New Roman" w:eastAsia="方正仿宋_GBK" w:cs="方正仿宋_GBK"/>
          <w:color w:val="auto"/>
          <w:kern w:val="2"/>
          <w:sz w:val="32"/>
          <w:szCs w:val="32"/>
          <w:lang w:val="en-US" w:eastAsia="zh-CN"/>
        </w:rPr>
        <w:t>（样式见附件4）</w:t>
      </w:r>
      <w:r>
        <w:rPr>
          <w:rFonts w:hint="eastAsia" w:ascii="Times New Roman" w:hAnsi="Times New Roman" w:eastAsia="方正仿宋_GBK" w:cs="Times New Roman"/>
          <w:color w:val="auto"/>
          <w:kern w:val="0"/>
          <w:sz w:val="32"/>
          <w:szCs w:val="32"/>
          <w:lang w:val="en-US" w:eastAsia="zh-CN"/>
        </w:rPr>
        <w:t>，评审专家组</w:t>
      </w:r>
      <w:r>
        <w:rPr>
          <w:rFonts w:hint="eastAsia" w:ascii="Times New Roman" w:hAnsi="Times New Roman" w:eastAsia="方正仿宋_GBK" w:cs="Times New Roman"/>
          <w:color w:val="auto"/>
          <w:kern w:val="0"/>
          <w:sz w:val="32"/>
          <w:szCs w:val="32"/>
        </w:rPr>
        <w:t>对评审意见书内容的公正性、准确性、可靠性负责。评审专家存在徇私舞弊、弄虚作假、玩忽职守行为的，移出专家库并取消再次入库资格；造成损失的，依法依规</w:t>
      </w:r>
      <w:r>
        <w:rPr>
          <w:rFonts w:hint="eastAsia" w:ascii="Times New Roman" w:hAnsi="Times New Roman" w:eastAsia="方正仿宋_GBK" w:cs="Times New Roman"/>
          <w:color w:val="auto"/>
          <w:kern w:val="0"/>
          <w:sz w:val="32"/>
          <w:szCs w:val="32"/>
          <w:highlight w:val="none"/>
          <w:lang w:val="en-US" w:eastAsia="zh-CN"/>
        </w:rPr>
        <w:t>追究责任。</w:t>
      </w:r>
    </w:p>
    <w:p w14:paraId="2F391463">
      <w:pPr>
        <w:overflowPunct w:val="0"/>
        <w:snapToGrid w:val="0"/>
        <w:spacing w:beforeLines="0" w:afterLines="0" w:line="594" w:lineRule="exact"/>
        <w:ind w:firstLine="640" w:firstLineChars="200"/>
        <w:rPr>
          <w:rFonts w:hint="default" w:ascii="Times New Roman" w:hAnsi="Times New Roman" w:eastAsia="方正仿宋_GBK" w:cs="Times New Roman"/>
          <w:color w:val="auto"/>
          <w:kern w:val="0"/>
          <w:sz w:val="32"/>
          <w:szCs w:val="32"/>
        </w:rPr>
      </w:pPr>
      <w:r>
        <w:rPr>
          <w:rFonts w:hint="eastAsia" w:ascii="Times New Roman" w:hAnsi="Times New Roman" w:eastAsia="方正仿宋_GBK" w:cs="Times New Roman"/>
          <w:color w:val="auto"/>
          <w:kern w:val="0"/>
          <w:sz w:val="32"/>
          <w:szCs w:val="32"/>
        </w:rPr>
        <w:t>（二十</w:t>
      </w:r>
      <w:r>
        <w:rPr>
          <w:rFonts w:hint="eastAsia" w:ascii="Times New Roman" w:hAnsi="Times New Roman" w:eastAsia="方正仿宋_GBK" w:cs="Times New Roman"/>
          <w:color w:val="auto"/>
          <w:kern w:val="0"/>
          <w:sz w:val="32"/>
          <w:szCs w:val="32"/>
          <w:lang w:eastAsia="zh-CN"/>
        </w:rPr>
        <w:t>一</w:t>
      </w:r>
      <w:r>
        <w:rPr>
          <w:rFonts w:hint="eastAsia" w:ascii="Times New Roman" w:hAnsi="Times New Roman" w:eastAsia="方正仿宋_GBK" w:cs="Times New Roman"/>
          <w:color w:val="auto"/>
          <w:kern w:val="0"/>
          <w:sz w:val="32"/>
          <w:szCs w:val="32"/>
        </w:rPr>
        <w:t>）规划自然资源主管部门</w:t>
      </w:r>
      <w:r>
        <w:rPr>
          <w:rFonts w:hint="eastAsia" w:eastAsia="方正仿宋_GBK" w:cs="Times New Roman"/>
          <w:color w:val="auto"/>
          <w:kern w:val="0"/>
          <w:sz w:val="32"/>
          <w:szCs w:val="32"/>
          <w:lang w:eastAsia="zh-CN"/>
        </w:rPr>
        <w:t>定期向社会公布矿产资源储量报告编审情况，建立提级审查制度，相关</w:t>
      </w:r>
      <w:r>
        <w:rPr>
          <w:rFonts w:hint="eastAsia" w:ascii="Times New Roman" w:hAnsi="Times New Roman" w:eastAsia="方正仿宋_GBK" w:cs="Times New Roman"/>
          <w:color w:val="auto"/>
          <w:kern w:val="0"/>
          <w:sz w:val="32"/>
          <w:szCs w:val="32"/>
        </w:rPr>
        <w:t>工作人员在组织矿产资源储量管理等工作中存在违纪违规行为的，一经查实，依法依规</w:t>
      </w:r>
      <w:r>
        <w:rPr>
          <w:rFonts w:hint="default" w:ascii="Times New Roman" w:hAnsi="Times New Roman" w:eastAsia="方正仿宋_GBK" w:cs="Times New Roman"/>
          <w:color w:val="auto"/>
          <w:kern w:val="0"/>
          <w:sz w:val="32"/>
          <w:szCs w:val="32"/>
          <w:highlight w:val="none"/>
          <w:lang w:val="en-US" w:eastAsia="zh-CN"/>
        </w:rPr>
        <w:t>追究责任。</w:t>
      </w:r>
    </w:p>
    <w:p w14:paraId="3F55D03A">
      <w:pPr>
        <w:pStyle w:val="10"/>
        <w:overflowPunct w:val="0"/>
        <w:snapToGrid w:val="0"/>
        <w:spacing w:beforeLines="0" w:after="0" w:afterLines="0" w:line="594" w:lineRule="exact"/>
        <w:ind w:firstLine="64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本通知自202</w:t>
      </w:r>
      <w:r>
        <w:rPr>
          <w:rFonts w:hint="eastAsia" w:ascii="Times New Roman" w:hAnsi="Times New Roman" w:eastAsia="方正仿宋_GBK" w:cs="Times New Roman"/>
          <w:color w:val="auto"/>
          <w:kern w:val="0"/>
          <w:sz w:val="32"/>
          <w:szCs w:val="32"/>
          <w:lang w:eastAsia="zh-CN"/>
        </w:rPr>
        <w:t>5</w:t>
      </w:r>
      <w:r>
        <w:rPr>
          <w:rFonts w:hint="default" w:ascii="Times New Roman" w:hAnsi="Times New Roman" w:eastAsia="方正仿宋_GBK" w:cs="Times New Roman"/>
          <w:color w:val="auto"/>
          <w:kern w:val="0"/>
          <w:sz w:val="32"/>
          <w:szCs w:val="32"/>
        </w:rPr>
        <w:t>年</w:t>
      </w:r>
      <w:r>
        <w:rPr>
          <w:rFonts w:hint="eastAsia" w:ascii="Times New Roman" w:hAnsi="Times New Roman" w:eastAsia="方正仿宋_GBK" w:cs="Times New Roman"/>
          <w:color w:val="auto"/>
          <w:kern w:val="0"/>
          <w:sz w:val="32"/>
          <w:szCs w:val="32"/>
          <w:lang w:val="en-US" w:eastAsia="zh-CN"/>
        </w:rPr>
        <w:t>2</w:t>
      </w:r>
      <w:r>
        <w:rPr>
          <w:rFonts w:hint="default" w:ascii="Times New Roman" w:hAnsi="Times New Roman" w:eastAsia="方正仿宋_GBK" w:cs="Times New Roman"/>
          <w:color w:val="auto"/>
          <w:kern w:val="0"/>
          <w:sz w:val="32"/>
          <w:szCs w:val="32"/>
        </w:rPr>
        <w:t>月</w:t>
      </w:r>
      <w:r>
        <w:rPr>
          <w:rFonts w:hint="default" w:ascii="Times New Roman" w:hAnsi="Times New Roman" w:eastAsia="方正仿宋_GBK" w:cs="Times New Roman"/>
          <w:color w:val="auto"/>
          <w:kern w:val="0"/>
          <w:sz w:val="32"/>
          <w:szCs w:val="32"/>
          <w:lang w:eastAsia="zh-CN"/>
        </w:rPr>
        <w:t>1</w:t>
      </w:r>
      <w:r>
        <w:rPr>
          <w:rFonts w:hint="default" w:ascii="Times New Roman" w:hAnsi="Times New Roman" w:eastAsia="方正仿宋_GBK" w:cs="Times New Roman"/>
          <w:color w:val="auto"/>
          <w:kern w:val="0"/>
          <w:sz w:val="32"/>
          <w:szCs w:val="32"/>
        </w:rPr>
        <w:t>日起</w:t>
      </w:r>
      <w:r>
        <w:rPr>
          <w:rFonts w:hint="eastAsia" w:ascii="Times New Roman" w:hAnsi="Times New Roman" w:eastAsia="方正仿宋_GBK" w:cs="Times New Roman"/>
          <w:color w:val="auto"/>
          <w:kern w:val="0"/>
          <w:sz w:val="32"/>
          <w:szCs w:val="32"/>
          <w:lang w:eastAsia="zh-CN"/>
        </w:rPr>
        <w:t>施行</w:t>
      </w:r>
      <w:r>
        <w:rPr>
          <w:rFonts w:hint="default" w:ascii="Times New Roman" w:hAnsi="Times New Roman" w:eastAsia="方正仿宋_GBK" w:cs="Times New Roman"/>
          <w:color w:val="auto"/>
          <w:kern w:val="0"/>
          <w:sz w:val="32"/>
          <w:szCs w:val="32"/>
        </w:rPr>
        <w:t>。</w:t>
      </w:r>
    </w:p>
    <w:p w14:paraId="60B17767">
      <w:pPr>
        <w:pStyle w:val="10"/>
        <w:overflowPunct w:val="0"/>
        <w:snapToGrid w:val="0"/>
        <w:spacing w:beforeLines="0" w:after="0" w:afterLines="0" w:line="594" w:lineRule="exact"/>
        <w:ind w:firstLine="640"/>
        <w:rPr>
          <w:rFonts w:ascii="Times New Roman" w:hAnsi="Times New Roman" w:eastAsia="方正仿宋_GBK" w:cs="Times New Roman"/>
          <w:color w:val="auto"/>
          <w:kern w:val="0"/>
          <w:sz w:val="32"/>
          <w:szCs w:val="32"/>
        </w:rPr>
      </w:pPr>
    </w:p>
    <w:p w14:paraId="229F7CD8">
      <w:pPr>
        <w:pStyle w:val="10"/>
        <w:overflowPunct w:val="0"/>
        <w:snapToGrid w:val="0"/>
        <w:spacing w:beforeLines="0" w:after="0" w:afterLines="0" w:line="600" w:lineRule="exact"/>
        <w:ind w:firstLine="640"/>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附</w:t>
      </w:r>
      <w:r>
        <w:rPr>
          <w:rFonts w:hint="default" w:ascii="Times New Roman" w:hAnsi="Times New Roman" w:eastAsia="方正仿宋_GBK" w:cs="Times New Roman"/>
          <w:color w:val="auto"/>
          <w:kern w:val="0"/>
          <w:sz w:val="32"/>
          <w:szCs w:val="32"/>
          <w:lang w:eastAsia="zh-CN"/>
        </w:rPr>
        <w:t>件</w:t>
      </w:r>
      <w:r>
        <w:rPr>
          <w:rFonts w:ascii="Times New Roman" w:hAnsi="Times New Roman" w:eastAsia="方正仿宋_GBK" w:cs="Times New Roman"/>
          <w:color w:val="auto"/>
          <w:kern w:val="0"/>
          <w:sz w:val="32"/>
          <w:szCs w:val="32"/>
        </w:rPr>
        <w:t>：1．矿产资源储量评审备案流程</w:t>
      </w:r>
    </w:p>
    <w:p w14:paraId="60AAB4CF">
      <w:pPr>
        <w:pStyle w:val="10"/>
        <w:overflowPunct w:val="0"/>
        <w:snapToGrid w:val="0"/>
        <w:spacing w:beforeLines="0" w:after="0" w:afterLines="0" w:line="600" w:lineRule="exact"/>
        <w:ind w:firstLine="1600" w:firstLineChars="500"/>
        <w:rPr>
          <w:rFonts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rPr>
        <w:t>2</w:t>
      </w:r>
      <w:r>
        <w:rPr>
          <w:rFonts w:ascii="Times New Roman" w:hAnsi="Times New Roman" w:eastAsia="方正仿宋_GBK" w:cs="Times New Roman"/>
          <w:color w:val="auto"/>
          <w:kern w:val="0"/>
          <w:sz w:val="32"/>
          <w:szCs w:val="32"/>
        </w:rPr>
        <w:t>．矿产资源储量评审</w:t>
      </w:r>
      <w:r>
        <w:rPr>
          <w:rFonts w:hint="default" w:ascii="Times New Roman" w:hAnsi="Times New Roman" w:eastAsia="方正仿宋_GBK" w:cs="Times New Roman"/>
          <w:color w:val="auto"/>
          <w:kern w:val="0"/>
          <w:sz w:val="32"/>
          <w:szCs w:val="32"/>
          <w:lang w:eastAsia="zh-CN"/>
        </w:rPr>
        <w:t>备案</w:t>
      </w:r>
      <w:r>
        <w:rPr>
          <w:rFonts w:ascii="Times New Roman" w:hAnsi="Times New Roman" w:eastAsia="方正仿宋_GBK" w:cs="Times New Roman"/>
          <w:color w:val="auto"/>
          <w:kern w:val="0"/>
          <w:sz w:val="32"/>
          <w:szCs w:val="32"/>
        </w:rPr>
        <w:t>受理信息表</w:t>
      </w:r>
    </w:p>
    <w:p w14:paraId="56BA5957">
      <w:pPr>
        <w:pStyle w:val="10"/>
        <w:overflowPunct w:val="0"/>
        <w:snapToGrid w:val="0"/>
        <w:spacing w:beforeLines="0" w:after="0" w:afterLines="0" w:line="600" w:lineRule="exact"/>
        <w:ind w:firstLine="1600" w:firstLineChars="5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rPr>
        <w:t>3</w:t>
      </w:r>
      <w:r>
        <w:rPr>
          <w:rFonts w:hint="default" w:ascii="Times New Roman" w:hAnsi="Times New Roman" w:eastAsia="方正仿宋_GBK" w:cs="Times New Roman"/>
          <w:color w:val="auto"/>
          <w:kern w:val="0"/>
          <w:sz w:val="32"/>
          <w:szCs w:val="32"/>
        </w:rPr>
        <w:t>．矿产资源储量核实报告评审意见书（样式）</w:t>
      </w:r>
    </w:p>
    <w:p w14:paraId="0C65DB1B">
      <w:pPr>
        <w:pStyle w:val="10"/>
        <w:overflowPunct w:val="0"/>
        <w:snapToGrid w:val="0"/>
        <w:spacing w:beforeLines="0" w:after="0" w:afterLines="0" w:line="600" w:lineRule="exact"/>
        <w:ind w:firstLine="1600" w:firstLineChars="500"/>
        <w:rPr>
          <w:rFonts w:hint="default" w:ascii="Times New Roman" w:hAnsi="Times New Roman" w:eastAsia="方正仿宋_GBK" w:cs="Times New Roman"/>
          <w:color w:val="auto"/>
          <w:kern w:val="0"/>
          <w:sz w:val="32"/>
          <w:szCs w:val="32"/>
          <w:lang w:val="en-US" w:eastAsia="zh-CN"/>
        </w:rPr>
      </w:pPr>
      <w:r>
        <w:rPr>
          <w:rFonts w:hint="default" w:ascii="Times New Roman" w:hAnsi="Times New Roman" w:eastAsia="方正仿宋_GBK" w:cs="Times New Roman"/>
          <w:color w:val="auto"/>
          <w:kern w:val="0"/>
          <w:sz w:val="32"/>
          <w:szCs w:val="32"/>
          <w:lang w:val="en-US" w:eastAsia="zh-CN"/>
        </w:rPr>
        <w:t>4</w:t>
      </w:r>
      <w:r>
        <w:rPr>
          <w:rFonts w:hint="default" w:ascii="Times New Roman" w:hAnsi="Times New Roman" w:eastAsia="方正仿宋_GBK" w:cs="Times New Roman"/>
          <w:color w:val="auto"/>
          <w:kern w:val="0"/>
          <w:sz w:val="32"/>
          <w:szCs w:val="32"/>
        </w:rPr>
        <w:t>．</w:t>
      </w:r>
      <w:r>
        <w:rPr>
          <w:rFonts w:hint="default" w:ascii="Times New Roman" w:hAnsi="Times New Roman" w:eastAsia="方正仿宋_GBK" w:cs="Times New Roman"/>
          <w:color w:val="auto"/>
          <w:kern w:val="0"/>
          <w:sz w:val="32"/>
          <w:szCs w:val="32"/>
          <w:lang w:val="en-US" w:eastAsia="zh-CN"/>
        </w:rPr>
        <w:t>评审专家个人意见书（样式）</w:t>
      </w:r>
    </w:p>
    <w:p w14:paraId="557C670F">
      <w:pPr>
        <w:pStyle w:val="3"/>
        <w:numPr>
          <w:ilvl w:val="-1"/>
          <w:numId w:val="0"/>
        </w:numPr>
        <w:overflowPunct w:val="0"/>
        <w:snapToGrid w:val="0"/>
        <w:spacing w:beforeLines="0" w:afterLines="0" w:line="594" w:lineRule="exact"/>
        <w:ind w:left="0" w:firstLine="0"/>
        <w:rPr>
          <w:rFonts w:hint="default" w:ascii="Times New Roman" w:hAnsi="Times New Roman"/>
          <w:color w:val="auto"/>
          <w:lang w:val="en-US" w:eastAsia="zh-CN"/>
        </w:rPr>
      </w:pPr>
    </w:p>
    <w:p w14:paraId="7D0414C8">
      <w:pPr>
        <w:pStyle w:val="3"/>
        <w:numPr>
          <w:ilvl w:val="-1"/>
          <w:numId w:val="0"/>
        </w:numPr>
        <w:overflowPunct w:val="0"/>
        <w:snapToGrid w:val="0"/>
        <w:spacing w:beforeLines="0" w:afterLines="0" w:line="594" w:lineRule="exact"/>
        <w:ind w:left="0" w:firstLine="0"/>
        <w:rPr>
          <w:rFonts w:hint="default" w:ascii="Times New Roman" w:hAnsi="Times New Roman"/>
          <w:color w:val="auto"/>
          <w:lang w:val="en-US" w:eastAsia="zh-CN"/>
        </w:rPr>
      </w:pPr>
    </w:p>
    <w:p w14:paraId="4F85B58E">
      <w:pPr>
        <w:overflowPunct w:val="0"/>
        <w:snapToGrid w:val="0"/>
        <w:spacing w:beforeLines="0" w:afterLines="0" w:line="594" w:lineRule="exact"/>
        <w:rPr>
          <w:rFonts w:hint="default" w:ascii="Times New Roman" w:hAnsi="Times New Roman"/>
          <w:color w:val="auto"/>
          <w:sz w:val="32"/>
          <w:szCs w:val="32"/>
          <w:lang w:val="en-US" w:eastAsia="zh-CN"/>
        </w:rPr>
      </w:pPr>
    </w:p>
    <w:p w14:paraId="4B8AB19B">
      <w:pPr>
        <w:overflowPunct w:val="0"/>
        <w:snapToGrid w:val="0"/>
        <w:spacing w:beforeLines="0" w:afterLines="0" w:line="594" w:lineRule="exact"/>
        <w:ind w:right="859" w:rightChars="409" w:firstLine="0" w:firstLineChars="0"/>
        <w:jc w:val="right"/>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重庆市规划和自然资源局</w:t>
      </w:r>
    </w:p>
    <w:p w14:paraId="2ACAB969">
      <w:pPr>
        <w:overflowPunct w:val="0"/>
        <w:snapToGrid w:val="0"/>
        <w:spacing w:beforeLines="0" w:afterLines="0" w:line="594" w:lineRule="exact"/>
        <w:ind w:right="1279" w:rightChars="609" w:firstLine="0" w:firstLineChars="0"/>
        <w:jc w:val="right"/>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2024年</w:t>
      </w:r>
      <w:r>
        <w:rPr>
          <w:rFonts w:hint="default" w:ascii="Times New Roman" w:hAnsi="Times New Roman" w:eastAsia="方正仿宋_GBK" w:cs="Times New Roman"/>
          <w:color w:val="auto"/>
          <w:kern w:val="0"/>
          <w:sz w:val="32"/>
          <w:szCs w:val="32"/>
          <w:lang w:val="en-US" w:eastAsia="zh-CN"/>
        </w:rPr>
        <w:t>11</w:t>
      </w:r>
      <w:r>
        <w:rPr>
          <w:rFonts w:ascii="Times New Roman" w:hAnsi="Times New Roman" w:eastAsia="方正仿宋_GBK" w:cs="Times New Roman"/>
          <w:color w:val="auto"/>
          <w:kern w:val="0"/>
          <w:sz w:val="32"/>
          <w:szCs w:val="32"/>
        </w:rPr>
        <w:t>月</w:t>
      </w:r>
      <w:r>
        <w:rPr>
          <w:rFonts w:hint="default" w:ascii="Times New Roman" w:hAnsi="Times New Roman" w:eastAsia="方正仿宋_GBK" w:cs="Times New Roman"/>
          <w:color w:val="auto"/>
          <w:kern w:val="0"/>
          <w:sz w:val="32"/>
          <w:szCs w:val="32"/>
          <w:lang w:eastAsia="zh-CN"/>
        </w:rPr>
        <w:t>1</w:t>
      </w:r>
      <w:r>
        <w:rPr>
          <w:rFonts w:hint="default" w:ascii="Times New Roman" w:hAnsi="Times New Roman" w:eastAsia="方正仿宋_GBK" w:cs="Times New Roman"/>
          <w:color w:val="auto"/>
          <w:kern w:val="0"/>
          <w:sz w:val="32"/>
          <w:szCs w:val="32"/>
          <w:lang w:val="en-US" w:eastAsia="zh-CN"/>
        </w:rPr>
        <w:t>9</w:t>
      </w:r>
      <w:r>
        <w:rPr>
          <w:rFonts w:ascii="Times New Roman" w:hAnsi="Times New Roman" w:eastAsia="方正仿宋_GBK" w:cs="Times New Roman"/>
          <w:color w:val="auto"/>
          <w:kern w:val="0"/>
          <w:sz w:val="32"/>
          <w:szCs w:val="32"/>
        </w:rPr>
        <w:t>日</w:t>
      </w:r>
    </w:p>
    <w:p w14:paraId="07A003E9">
      <w:pPr>
        <w:overflowPunct w:val="0"/>
        <w:snapToGrid w:val="0"/>
        <w:spacing w:beforeLines="0" w:afterLines="0" w:line="594" w:lineRule="exact"/>
        <w:ind w:firstLine="0" w:firstLineChars="0"/>
        <w:jc w:val="right"/>
        <w:rPr>
          <w:rFonts w:ascii="Times New Roman" w:hAnsi="Times New Roman" w:eastAsia="方正仿宋_GBK" w:cs="Times New Roman"/>
          <w:color w:val="auto"/>
          <w:kern w:val="0"/>
          <w:sz w:val="32"/>
          <w:szCs w:val="32"/>
        </w:rPr>
      </w:pPr>
    </w:p>
    <w:p w14:paraId="6F55E444">
      <w:pPr>
        <w:overflowPunct/>
        <w:spacing w:beforeLines="0" w:afterLines="0" w:line="240" w:lineRule="auto"/>
        <w:jc w:val="left"/>
        <w:rPr>
          <w:rFonts w:hint="eastAsia" w:ascii="Times New Roman" w:hAnsi="Times New Roman" w:eastAsia="方正黑体_GBK" w:cs="Times New Roman"/>
          <w:color w:val="000000" w:themeColor="text1"/>
          <w:kern w:val="0"/>
          <w:sz w:val="32"/>
          <w:szCs w:val="32"/>
          <w:lang w:eastAsia="zh-CN"/>
          <w14:textFill>
            <w14:solidFill>
              <w14:schemeClr w14:val="tx1"/>
            </w14:solidFill>
          </w14:textFill>
        </w:rPr>
      </w:pPr>
      <w:r>
        <w:rPr>
          <w:rFonts w:ascii="Times New Roman" w:hAnsi="Times New Roman" w:eastAsia="方正仿宋_GBK" w:cs="Times New Roman"/>
          <w:color w:val="000000" w:themeColor="text1"/>
          <w:kern w:val="0"/>
          <w:sz w:val="32"/>
          <w:szCs w:val="32"/>
          <w14:textFill>
            <w14:solidFill>
              <w14:schemeClr w14:val="tx1"/>
            </w14:solidFill>
          </w14:textFill>
        </w:rPr>
        <w:br w:type="page"/>
      </w:r>
      <w:r>
        <w:rPr>
          <w:rFonts w:ascii="Times New Roman" w:hAnsi="Times New Roman" w:eastAsia="方正黑体_GBK" w:cs="Times New Roman"/>
          <w:color w:val="000000" w:themeColor="text1"/>
          <w:kern w:val="0"/>
          <w:sz w:val="32"/>
          <w:szCs w:val="32"/>
          <w14:textFill>
            <w14:solidFill>
              <w14:schemeClr w14:val="tx1"/>
            </w14:solidFill>
          </w14:textFill>
        </w:rPr>
        <w:t>附</w:t>
      </w:r>
      <w:r>
        <w:rPr>
          <w:rFonts w:hint="eastAsia" w:eastAsia="方正黑体_GBK" w:cs="Times New Roman"/>
          <w:color w:val="000000" w:themeColor="text1"/>
          <w:kern w:val="0"/>
          <w:sz w:val="32"/>
          <w:szCs w:val="32"/>
          <w:lang w:eastAsia="zh-CN"/>
          <w14:textFill>
            <w14:solidFill>
              <w14:schemeClr w14:val="tx1"/>
            </w14:solidFill>
          </w14:textFill>
        </w:rPr>
        <w:t>件</w:t>
      </w:r>
      <w:r>
        <w:rPr>
          <w:rFonts w:hint="default" w:ascii="Times New Roman" w:hAnsi="Times New Roman" w:eastAsia="方正黑体_GBK" w:cs="Times New Roman"/>
          <w:color w:val="000000" w:themeColor="text1"/>
          <w:kern w:val="0"/>
          <w:sz w:val="32"/>
          <w:szCs w:val="32"/>
          <w:lang w:val="en-US"/>
          <w14:textFill>
            <w14:solidFill>
              <w14:schemeClr w14:val="tx1"/>
            </w14:solidFill>
          </w14:textFill>
        </w:rPr>
        <w:t>1</w:t>
      </w:r>
    </w:p>
    <w:p w14:paraId="39B72169">
      <w:pPr>
        <w:spacing w:before="120" w:after="120" w:line="600"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矿产资源储量评审备案流程</w:t>
      </w:r>
    </w:p>
    <w:p w14:paraId="0D612B48">
      <w:pPr>
        <w:rPr>
          <w:rFonts w:ascii="Times New Roman" w:hAnsi="Times New Roman" w:cs="Times New Roman"/>
          <w:color w:val="000000" w:themeColor="text1"/>
          <w14:textFill>
            <w14:solidFill>
              <w14:schemeClr w14:val="tx1"/>
            </w14:solidFill>
          </w14:textFill>
        </w:rPr>
      </w:pPr>
      <w:r>
        <w:rPr>
          <w:sz w:val="21"/>
        </w:rPr>
        <mc:AlternateContent>
          <mc:Choice Requires="wpg">
            <w:drawing>
              <wp:anchor distT="0" distB="0" distL="114300" distR="114300" simplePos="0" relativeHeight="251660288" behindDoc="0" locked="0" layoutInCell="1" allowOverlap="1">
                <wp:simplePos x="0" y="0"/>
                <wp:positionH relativeFrom="column">
                  <wp:posOffset>22225</wp:posOffset>
                </wp:positionH>
                <wp:positionV relativeFrom="paragraph">
                  <wp:posOffset>120015</wp:posOffset>
                </wp:positionV>
                <wp:extent cx="5699760" cy="6852920"/>
                <wp:effectExtent l="4445" t="4445" r="10795" b="15875"/>
                <wp:wrapNone/>
                <wp:docPr id="26" name="组合 26"/>
                <wp:cNvGraphicFramePr/>
                <a:graphic xmlns:a="http://schemas.openxmlformats.org/drawingml/2006/main">
                  <a:graphicData uri="http://schemas.microsoft.com/office/word/2010/wordprocessingGroup">
                    <wpg:wgp>
                      <wpg:cNvGrpSpPr/>
                      <wpg:grpSpPr>
                        <a:xfrm>
                          <a:off x="0" y="0"/>
                          <a:ext cx="5699760" cy="6852920"/>
                          <a:chOff x="11369" y="158058"/>
                          <a:chExt cx="8976" cy="10792"/>
                        </a:xfrm>
                      </wpg:grpSpPr>
                      <wps:wsp>
                        <wps:cNvPr id="6" name="矩形 6"/>
                        <wps:cNvSpPr/>
                        <wps:spPr>
                          <a:xfrm>
                            <a:off x="11846" y="159238"/>
                            <a:ext cx="2262" cy="875"/>
                          </a:xfrm>
                          <a:prstGeom prst="rect">
                            <a:avLst/>
                          </a:prstGeom>
                          <a:noFill/>
                          <a:ln w="6350" cap="flat" cmpd="sng">
                            <a:solidFill>
                              <a:srgbClr val="000000"/>
                            </a:solidFill>
                            <a:prstDash val="solid"/>
                            <a:round/>
                            <a:headEnd type="none" w="med" len="med"/>
                            <a:tailEnd type="none" w="med" len="med"/>
                          </a:ln>
                          <a:effectLst/>
                        </wps:spPr>
                        <wps:txbx>
                          <w:txbxContent>
                            <w:p w14:paraId="277E4D0D">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rPr>
                                <w:t>受理</w:t>
                              </w:r>
                              <w:r>
                                <w:rPr>
                                  <w:rFonts w:hint="eastAsia" w:ascii="方正仿宋_GBK" w:hAnsi="方正仿宋_GBK" w:eastAsia="方正仿宋_GBK" w:cs="方正仿宋_GBK"/>
                                  <w:color w:val="000000"/>
                                  <w:sz w:val="32"/>
                                  <w:szCs w:val="32"/>
                                  <w:lang w:eastAsia="zh-CN"/>
                                </w:rPr>
                                <w:t>评审备案</w:t>
                              </w:r>
                            </w:p>
                          </w:txbxContent>
                        </wps:txbx>
                        <wps:bodyPr vert="horz" wrap="square" lIns="91440" tIns="107999" rIns="91440" bIns="45720" anchor="ctr" anchorCtr="0" upright="1"/>
                      </wps:wsp>
                      <wps:wsp>
                        <wps:cNvPr id="24" name="矩形 24"/>
                        <wps:cNvSpPr/>
                        <wps:spPr>
                          <a:xfrm>
                            <a:off x="11796" y="161250"/>
                            <a:ext cx="2262" cy="875"/>
                          </a:xfrm>
                          <a:prstGeom prst="rect">
                            <a:avLst/>
                          </a:prstGeom>
                          <a:noFill/>
                          <a:ln w="6350" cap="flat" cmpd="sng">
                            <a:solidFill>
                              <a:srgbClr val="000000"/>
                            </a:solidFill>
                            <a:prstDash val="solid"/>
                            <a:round/>
                            <a:headEnd type="none" w="med" len="med"/>
                            <a:tailEnd type="none" w="med" len="med"/>
                          </a:ln>
                          <a:effectLst/>
                        </wps:spPr>
                        <wps:txbx>
                          <w:txbxContent>
                            <w:p w14:paraId="5B61335D">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rPr>
                                <w:t>组织评审</w:t>
                              </w:r>
                              <w:r>
                                <w:rPr>
                                  <w:rFonts w:hint="eastAsia" w:ascii="方正仿宋_GBK" w:hAnsi="方正仿宋_GBK" w:eastAsia="方正仿宋_GBK" w:cs="方正仿宋_GBK"/>
                                  <w:color w:val="000000"/>
                                  <w:sz w:val="32"/>
                                  <w:szCs w:val="32"/>
                                  <w:lang w:eastAsia="zh-CN"/>
                                </w:rPr>
                                <w:t>会议</w:t>
                              </w:r>
                            </w:p>
                          </w:txbxContent>
                        </wps:txbx>
                        <wps:bodyPr vert="horz" wrap="square" lIns="91440" tIns="107999" rIns="91440" bIns="45720" anchor="ctr" anchorCtr="0" upright="1"/>
                      </wps:wsp>
                      <wps:wsp>
                        <wps:cNvPr id="21" name="矩形 21"/>
                        <wps:cNvSpPr/>
                        <wps:spPr>
                          <a:xfrm>
                            <a:off x="11784" y="163370"/>
                            <a:ext cx="2262" cy="875"/>
                          </a:xfrm>
                          <a:prstGeom prst="rect">
                            <a:avLst/>
                          </a:prstGeom>
                          <a:noFill/>
                          <a:ln w="6350" cap="flat" cmpd="sng">
                            <a:solidFill>
                              <a:srgbClr val="000000"/>
                            </a:solidFill>
                            <a:prstDash val="solid"/>
                            <a:round/>
                            <a:headEnd type="none" w="med" len="med"/>
                            <a:tailEnd type="none" w="med" len="med"/>
                          </a:ln>
                          <a:effectLst/>
                        </wps:spPr>
                        <wps:txbx>
                          <w:txbxContent>
                            <w:p w14:paraId="5A5934DA">
                              <w:pPr>
                                <w:jc w:val="center"/>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kern w:val="0"/>
                                  <w:sz w:val="32"/>
                                  <w:szCs w:val="32"/>
                                  <w:lang w:val="en-US" w:eastAsia="zh-CN"/>
                                </w:rPr>
                                <w:t>修改完善复核</w:t>
                              </w:r>
                            </w:p>
                          </w:txbxContent>
                        </wps:txbx>
                        <wps:bodyPr vert="horz" wrap="square" lIns="91440" tIns="107999" rIns="91440" bIns="45720" anchor="ctr" anchorCtr="0" upright="1"/>
                      </wps:wsp>
                      <wps:wsp>
                        <wps:cNvPr id="18" name="矩形 18"/>
                        <wps:cNvSpPr/>
                        <wps:spPr>
                          <a:xfrm>
                            <a:off x="11786" y="165480"/>
                            <a:ext cx="2262" cy="875"/>
                          </a:xfrm>
                          <a:prstGeom prst="rect">
                            <a:avLst/>
                          </a:prstGeom>
                          <a:noFill/>
                          <a:ln w="6350" cap="flat" cmpd="sng">
                            <a:solidFill>
                              <a:srgbClr val="000000"/>
                            </a:solidFill>
                            <a:prstDash val="solid"/>
                            <a:round/>
                            <a:headEnd type="none" w="med" len="med"/>
                            <a:tailEnd type="none" w="med" len="med"/>
                          </a:ln>
                          <a:effectLst/>
                        </wps:spPr>
                        <wps:txbx>
                          <w:txbxContent>
                            <w:p w14:paraId="642F6880">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出具评审意见</w:t>
                              </w:r>
                            </w:p>
                          </w:txbxContent>
                        </wps:txbx>
                        <wps:bodyPr vert="horz" wrap="square" lIns="91440" tIns="107999" rIns="91440" bIns="45720" anchor="ctr" anchorCtr="0" upright="1"/>
                      </wps:wsp>
                      <wps:wsp>
                        <wps:cNvPr id="8" name="下箭头 8"/>
                        <wps:cNvSpPr/>
                        <wps:spPr>
                          <a:xfrm>
                            <a:off x="12765" y="160149"/>
                            <a:ext cx="291" cy="1112"/>
                          </a:xfrm>
                          <a:prstGeom prst="downArrow">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5415" y="158988"/>
                            <a:ext cx="4620" cy="1441"/>
                          </a:xfrm>
                          <a:prstGeom prst="rect">
                            <a:avLst/>
                          </a:prstGeom>
                          <a:noFill/>
                          <a:ln w="6350" cap="flat" cmpd="sng" algn="ctr">
                            <a:solidFill>
                              <a:srgbClr val="000000"/>
                            </a:solidFill>
                            <a:prstDash val="solid"/>
                          </a:ln>
                          <a:effectLst/>
                        </wps:spPr>
                        <wps:txbx>
                          <w:txbxContent>
                            <w:p w14:paraId="50253750">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1.政务大厅将申请材料移交至评审机构；</w:t>
                              </w:r>
                            </w:p>
                            <w:p w14:paraId="4D6721F1">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2.评审机构对申请材料进行复核，符合要求的予以接件受理，不符合的一次性通知申请单位补充提交；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矩形 22"/>
                        <wps:cNvSpPr/>
                        <wps:spPr>
                          <a:xfrm>
                            <a:off x="15420" y="160743"/>
                            <a:ext cx="4620" cy="1942"/>
                          </a:xfrm>
                          <a:prstGeom prst="rect">
                            <a:avLst/>
                          </a:prstGeom>
                          <a:noFill/>
                          <a:ln w="6350" cap="flat" cmpd="sng" algn="ctr">
                            <a:solidFill>
                              <a:srgbClr val="000000"/>
                            </a:solidFill>
                            <a:prstDash val="solid"/>
                          </a:ln>
                          <a:effectLst/>
                        </wps:spPr>
                        <wps:txbx>
                          <w:txbxContent>
                            <w:p w14:paraId="6BEFD076">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3.确定评审时间，向</w:t>
                              </w:r>
                              <w:r>
                                <w:rPr>
                                  <w:rFonts w:hint="eastAsia" w:ascii="方正仿宋_GBK" w:hAnsi="方正仿宋_GBK" w:eastAsia="方正仿宋_GBK" w:cs="方正仿宋_GBK"/>
                                  <w:color w:val="000000"/>
                                  <w:lang w:eastAsia="zh-CN"/>
                                </w:rPr>
                                <w:t>上级</w:t>
                              </w:r>
                              <w:r>
                                <w:rPr>
                                  <w:rFonts w:hint="eastAsia" w:ascii="方正仿宋_GBK" w:hAnsi="方正仿宋_GBK" w:eastAsia="方正仿宋_GBK" w:cs="方正仿宋_GBK"/>
                                  <w:color w:val="000000"/>
                                </w:rPr>
                                <w:t>评审机构报送评审安排信息表；</w:t>
                              </w:r>
                            </w:p>
                            <w:p w14:paraId="77020E89">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4.确定评审专家数量和结构，在储量评审专家库内随机抽取评审专家；</w:t>
                              </w:r>
                            </w:p>
                            <w:p w14:paraId="54C40E90">
                              <w:pPr>
                                <w:spacing w:line="300" w:lineRule="exact"/>
                                <w:jc w:val="left"/>
                                <w:rPr>
                                  <w:rFonts w:ascii="方正仿宋_GBK" w:hAnsi="方正仿宋_GBK" w:eastAsia="方正仿宋_GBK" w:cs="方正仿宋_GBK"/>
                                  <w:color w:val="000000"/>
                                </w:rPr>
                              </w:pPr>
                              <w:r>
                                <w:rPr>
                                  <w:rFonts w:hint="eastAsia" w:ascii="方正仿宋_GBK" w:hAnsi="方正仿宋_GBK" w:eastAsia="方正仿宋_GBK" w:cs="方正仿宋_GBK"/>
                                  <w:color w:val="000000"/>
                                </w:rPr>
                                <w:t>5.召开评审会，符合现场核查要求的应及时安排现场核查；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15407" y="162991"/>
                            <a:ext cx="4620" cy="1665"/>
                          </a:xfrm>
                          <a:prstGeom prst="rect">
                            <a:avLst/>
                          </a:prstGeom>
                          <a:noFill/>
                          <a:ln w="6350" cap="flat" cmpd="sng" algn="ctr">
                            <a:solidFill>
                              <a:srgbClr val="000000"/>
                            </a:solidFill>
                            <a:prstDash val="solid"/>
                          </a:ln>
                          <a:effectLst/>
                        </wps:spPr>
                        <wps:txbx>
                          <w:txbxContent>
                            <w:p w14:paraId="33CF6E8D">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6.通过评审的，现场形成评审意见书；同意修改完善后通过评审的，现场形成专家组修改意见表；未通过评审的，予以退件；</w:t>
                              </w:r>
                            </w:p>
                            <w:p w14:paraId="2C1D940B">
                              <w:pPr>
                                <w:spacing w:line="300" w:lineRule="exact"/>
                                <w:jc w:val="left"/>
                                <w:rPr>
                                  <w:rFonts w:ascii="方正仿宋_GBK" w:hAnsi="方正仿宋_GBK" w:eastAsia="方正仿宋_GBK" w:cs="方正仿宋_GBK"/>
                                  <w:color w:val="000000"/>
                                </w:rPr>
                              </w:pPr>
                              <w:r>
                                <w:rPr>
                                  <w:rFonts w:hint="eastAsia" w:ascii="方正仿宋_GBK" w:hAnsi="方正仿宋_GBK" w:eastAsia="方正仿宋_GBK" w:cs="方正仿宋_GBK"/>
                                  <w:color w:val="000000"/>
                                </w:rPr>
                                <w:t>7.评审机构对专家评审情况进行</w:t>
                              </w:r>
                              <w:r>
                                <w:rPr>
                                  <w:rFonts w:hint="eastAsia" w:ascii="方正仿宋_GBK" w:hAnsi="方正仿宋_GBK" w:eastAsia="方正仿宋_GBK" w:cs="方正仿宋_GBK"/>
                                  <w:color w:val="000000"/>
                                  <w:lang w:val="en-US" w:eastAsia="zh-CN"/>
                                </w:rPr>
                                <w:t>专题会议研究</w:t>
                              </w:r>
                              <w:r>
                                <w:rPr>
                                  <w:rFonts w:hint="eastAsia" w:ascii="方正仿宋_GBK" w:hAnsi="方正仿宋_GBK" w:eastAsia="方正仿宋_GBK" w:cs="方正仿宋_GBK"/>
                                  <w:color w:val="000000"/>
                                </w:rPr>
                                <w:t>，</w:t>
                              </w:r>
                              <w:r>
                                <w:rPr>
                                  <w:rFonts w:hint="eastAsia" w:ascii="方正仿宋_GBK" w:hAnsi="方正仿宋_GBK" w:eastAsia="方正仿宋_GBK" w:cs="方正仿宋_GBK"/>
                                  <w:color w:val="000000"/>
                                  <w:lang w:val="en-US" w:eastAsia="zh-CN"/>
                                </w:rPr>
                                <w:t>组织专家和编制单位</w:t>
                              </w:r>
                              <w:r>
                                <w:rPr>
                                  <w:rFonts w:hint="eastAsia" w:ascii="方正仿宋_GBK" w:hAnsi="方正仿宋_GBK" w:eastAsia="方正仿宋_GBK" w:cs="方正仿宋_GBK"/>
                                  <w:color w:val="000000"/>
                                </w:rPr>
                                <w:t>规定时间内完成修改复核；</w:t>
                              </w:r>
                            </w:p>
                            <w:p w14:paraId="26B1C0F2">
                              <w:pPr>
                                <w:jc w:val="center"/>
                                <w:rPr>
                                  <w:color w:val="000000"/>
                                </w:rPr>
                              </w:pPr>
                              <w:r>
                                <w:rPr>
                                  <w:rFonts w:hint="eastAsia"/>
                                  <w:color w:val="000000"/>
                                </w:rPr>
                                <w:t>2.评审机构对申请材料进行复核，符合要求的予以接件受理，不符合的一次性通知申请单位补充提交；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15404" y="165305"/>
                            <a:ext cx="4620" cy="1291"/>
                          </a:xfrm>
                          <a:prstGeom prst="rect">
                            <a:avLst/>
                          </a:prstGeom>
                          <a:noFill/>
                          <a:ln w="6350" cap="flat" cmpd="sng" algn="ctr">
                            <a:solidFill>
                              <a:srgbClr val="000000"/>
                            </a:solidFill>
                            <a:prstDash val="solid"/>
                          </a:ln>
                          <a:effectLst/>
                        </wps:spPr>
                        <wps:txbx>
                          <w:txbxContent>
                            <w:p w14:paraId="2A07221C">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8.通过专家组复核的，形成专家评审意见书，评审机构审核无误后签发；未通过修改复核的，继续修改，无法按期完成修改的，予以退件；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1369" y="158058"/>
                            <a:ext cx="8977" cy="10792"/>
                          </a:xfrm>
                          <a:prstGeom prst="rect">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 name="直接连接符 7"/>
                        <wps:cNvCnPr/>
                        <wps:spPr>
                          <a:xfrm>
                            <a:off x="14112" y="159606"/>
                            <a:ext cx="1308" cy="0"/>
                          </a:xfrm>
                          <a:prstGeom prst="line">
                            <a:avLst/>
                          </a:prstGeom>
                          <a:noFill/>
                          <a:ln w="12700" cap="flat" cmpd="sng" algn="ctr">
                            <a:solidFill>
                              <a:srgbClr val="000000"/>
                            </a:solidFill>
                            <a:prstDash val="sysDash"/>
                          </a:ln>
                          <a:effectLst/>
                        </wps:spPr>
                        <wps:bodyPr/>
                      </wps:wsp>
                      <wps:wsp>
                        <wps:cNvPr id="23" name="直接连接符 23"/>
                        <wps:cNvCnPr/>
                        <wps:spPr>
                          <a:xfrm>
                            <a:off x="14083" y="161704"/>
                            <a:ext cx="1308" cy="0"/>
                          </a:xfrm>
                          <a:prstGeom prst="line">
                            <a:avLst/>
                          </a:prstGeom>
                          <a:noFill/>
                          <a:ln w="12700" cap="flat" cmpd="sng" algn="ctr">
                            <a:solidFill>
                              <a:srgbClr val="000000"/>
                            </a:solidFill>
                            <a:prstDash val="sysDash"/>
                          </a:ln>
                          <a:effectLst/>
                        </wps:spPr>
                        <wps:bodyPr/>
                      </wps:wsp>
                      <wps:wsp>
                        <wps:cNvPr id="20" name="直接连接符 20"/>
                        <wps:cNvCnPr/>
                        <wps:spPr>
                          <a:xfrm>
                            <a:off x="14057" y="163793"/>
                            <a:ext cx="1308" cy="0"/>
                          </a:xfrm>
                          <a:prstGeom prst="line">
                            <a:avLst/>
                          </a:prstGeom>
                          <a:noFill/>
                          <a:ln w="12700" cap="flat" cmpd="sng" algn="ctr">
                            <a:solidFill>
                              <a:srgbClr val="000000"/>
                            </a:solidFill>
                            <a:prstDash val="sysDash"/>
                          </a:ln>
                          <a:effectLst/>
                        </wps:spPr>
                        <wps:bodyPr/>
                      </wps:wsp>
                      <wps:wsp>
                        <wps:cNvPr id="15" name="直接连接符 15"/>
                        <wps:cNvCnPr/>
                        <wps:spPr>
                          <a:xfrm>
                            <a:off x="14070" y="165930"/>
                            <a:ext cx="1308" cy="0"/>
                          </a:xfrm>
                          <a:prstGeom prst="line">
                            <a:avLst/>
                          </a:prstGeom>
                          <a:noFill/>
                          <a:ln w="12700" cap="flat" cmpd="sng" algn="ctr">
                            <a:solidFill>
                              <a:srgbClr val="000000"/>
                            </a:solidFill>
                            <a:prstDash val="sysDash"/>
                          </a:ln>
                          <a:effectLst/>
                        </wps:spPr>
                        <wps:bodyPr/>
                      </wps:wsp>
                      <wps:wsp>
                        <wps:cNvPr id="19" name="下箭头 19"/>
                        <wps:cNvSpPr/>
                        <wps:spPr>
                          <a:xfrm>
                            <a:off x="12765" y="162148"/>
                            <a:ext cx="291" cy="1216"/>
                          </a:xfrm>
                          <a:prstGeom prst="downArrow">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3" name="下箭头 13"/>
                        <wps:cNvSpPr/>
                        <wps:spPr>
                          <a:xfrm>
                            <a:off x="12750" y="166378"/>
                            <a:ext cx="291" cy="1216"/>
                          </a:xfrm>
                          <a:prstGeom prst="downArrow">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 name="下箭头 16"/>
                        <wps:cNvSpPr/>
                        <wps:spPr>
                          <a:xfrm>
                            <a:off x="12765" y="164293"/>
                            <a:ext cx="291" cy="1171"/>
                          </a:xfrm>
                          <a:prstGeom prst="downArrow">
                            <a:avLst/>
                          </a:prstGeom>
                          <a:noFill/>
                          <a:ln w="635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11786" y="167595"/>
                            <a:ext cx="2262" cy="875"/>
                          </a:xfrm>
                          <a:prstGeom prst="rect">
                            <a:avLst/>
                          </a:prstGeom>
                          <a:noFill/>
                          <a:ln w="6350" cap="flat" cmpd="sng">
                            <a:solidFill>
                              <a:srgbClr val="000000"/>
                            </a:solidFill>
                            <a:prstDash val="solid"/>
                            <a:round/>
                            <a:headEnd type="none" w="med" len="med"/>
                            <a:tailEnd type="none" w="med" len="med"/>
                          </a:ln>
                          <a:effectLst/>
                        </wps:spPr>
                        <wps:txbx>
                          <w:txbxContent>
                            <w:p w14:paraId="31621334">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印发备案结果</w:t>
                              </w:r>
                            </w:p>
                          </w:txbxContent>
                        </wps:txbx>
                        <wps:bodyPr vert="horz" wrap="square" lIns="91440" tIns="107999" rIns="91440" bIns="45720" anchor="ctr" anchorCtr="0" upright="1"/>
                      </wps:wsp>
                      <wps:wsp>
                        <wps:cNvPr id="11" name="矩形 11"/>
                        <wps:cNvSpPr/>
                        <wps:spPr>
                          <a:xfrm>
                            <a:off x="15389" y="167278"/>
                            <a:ext cx="4620" cy="1471"/>
                          </a:xfrm>
                          <a:prstGeom prst="rect">
                            <a:avLst/>
                          </a:prstGeom>
                          <a:noFill/>
                          <a:ln w="6350" cap="flat" cmpd="sng" algn="ctr">
                            <a:solidFill>
                              <a:srgbClr val="000000"/>
                            </a:solidFill>
                            <a:prstDash val="solid"/>
                          </a:ln>
                          <a:effectLst/>
                        </wps:spPr>
                        <wps:txbx>
                          <w:txbxContent>
                            <w:p w14:paraId="197C99A4">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9.填写矿产资源储量评审备案信息表，</w:t>
                              </w:r>
                              <w:r>
                                <w:rPr>
                                  <w:rFonts w:hint="eastAsia" w:ascii="方正仿宋_GBK" w:hAnsi="方正仿宋_GBK" w:eastAsia="方正仿宋_GBK" w:cs="方正仿宋_GBK"/>
                                  <w:color w:val="000000"/>
                                  <w:lang w:eastAsia="zh-CN"/>
                                </w:rPr>
                                <w:t>报送同级规划自然资源主管部门备案，印发评审备案的复函，交政务大厅发件</w:t>
                              </w:r>
                              <w:r>
                                <w:rPr>
                                  <w:rFonts w:hint="eastAsia" w:ascii="方正仿宋_GBK" w:hAnsi="方正仿宋_GBK" w:eastAsia="方正仿宋_GBK" w:cs="方正仿宋_GBK"/>
                                  <w:color w:val="000000"/>
                                </w:rPr>
                                <w:t>。</w:t>
                              </w:r>
                            </w:p>
                            <w:p w14:paraId="6EF21223">
                              <w:pPr>
                                <w:spacing w:line="300" w:lineRule="exact"/>
                                <w:jc w:val="left"/>
                              </w:pPr>
                              <w:r>
                                <w:rPr>
                                  <w:rFonts w:hint="eastAsia" w:ascii="方正仿宋_GBK" w:hAnsi="方正仿宋_GBK" w:eastAsia="方正仿宋_GBK" w:cs="方正仿宋_GBK"/>
                                  <w:color w:val="000000"/>
                                  <w:lang w:val="en-US" w:eastAsia="zh-CN"/>
                                </w:rPr>
                                <w:t>10.</w:t>
                              </w:r>
                              <w:r>
                                <w:rPr>
                                  <w:rFonts w:hint="eastAsia" w:ascii="方正仿宋_GBK" w:hAnsi="方正仿宋_GBK" w:eastAsia="方正仿宋_GBK" w:cs="方正仿宋_GBK"/>
                                  <w:color w:val="000000"/>
                                  <w:lang w:eastAsia="zh-CN"/>
                                </w:rPr>
                                <w:t>通过门户网站向社会公开评审备案情况。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连接符 12"/>
                        <wps:cNvCnPr/>
                        <wps:spPr>
                          <a:xfrm>
                            <a:off x="14055" y="168015"/>
                            <a:ext cx="1308" cy="0"/>
                          </a:xfrm>
                          <a:prstGeom prst="line">
                            <a:avLst/>
                          </a:prstGeom>
                          <a:noFill/>
                          <a:ln w="12700" cap="flat" cmpd="sng" algn="ctr">
                            <a:solidFill>
                              <a:srgbClr val="000000"/>
                            </a:solidFill>
                            <a:prstDash val="sysDash"/>
                          </a:ln>
                          <a:effectLst/>
                        </wps:spPr>
                        <wps:bodyPr/>
                      </wps:wsp>
                    </wpg:wgp>
                  </a:graphicData>
                </a:graphic>
              </wp:anchor>
            </w:drawing>
          </mc:Choice>
          <mc:Fallback>
            <w:pict>
              <v:group id="_x0000_s1026" o:spid="_x0000_s1026" o:spt="203" style="position:absolute;left:0pt;margin-left:1.75pt;margin-top:9.45pt;height:539.6pt;width:448.8pt;z-index:251660288;mso-width-relative:page;mso-height-relative:page;" coordorigin="11369,158058" coordsize="8976,10792" o:gfxdata="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EkkUrPYAAAACQEAAA8AAAAAAAAAAQAgAAAAIgAAAGRycy9kb3ducmV2&#10;LnhtbFBLAQIUABQAAAAIAIdO4kAqFxmBNwYAALs2AAAOAAAAAAAAAAEAIAAAACcBAABkcnMvZTJv&#10;RG9jLnhtbFBLBQYAAAAABgAGAFkBAADQCQAAAAA=&#10;">
                <o:lock v:ext="edit" aspectratio="f"/>
                <v:rect id="_x0000_s1026" o:spid="_x0000_s1026" o:spt="1" style="position:absolute;left:11846;top:159238;height:875;width:2262;v-text-anchor:middle;" filled="f" stroked="t" coordsize="21600,21600" o:gfxdata="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csLu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textbox inset="2.54mm,8.50385826771654pt,2.54mm,1.27mm">
                    <w:txbxContent>
                      <w:p w14:paraId="277E4D0D">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rPr>
                          <w:t>受理</w:t>
                        </w:r>
                        <w:r>
                          <w:rPr>
                            <w:rFonts w:hint="eastAsia" w:ascii="方正仿宋_GBK" w:hAnsi="方正仿宋_GBK" w:eastAsia="方正仿宋_GBK" w:cs="方正仿宋_GBK"/>
                            <w:color w:val="000000"/>
                            <w:sz w:val="32"/>
                            <w:szCs w:val="32"/>
                            <w:lang w:eastAsia="zh-CN"/>
                          </w:rPr>
                          <w:t>评审备案</w:t>
                        </w:r>
                      </w:p>
                    </w:txbxContent>
                  </v:textbox>
                </v:rect>
                <v:rect id="_x0000_s1026" o:spid="_x0000_s1026" o:spt="1" style="position:absolute;left:11796;top:161250;height:875;width:2262;v-text-anchor:middle;" filled="f" stroked="t" coordsize="21600,21600" o:gfxdata="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OBWG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inset="2.54mm,8.50385826771654pt,2.54mm,1.27mm">
                    <w:txbxContent>
                      <w:p w14:paraId="5B61335D">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rPr>
                          <w:t>组织评审</w:t>
                        </w:r>
                        <w:r>
                          <w:rPr>
                            <w:rFonts w:hint="eastAsia" w:ascii="方正仿宋_GBK" w:hAnsi="方正仿宋_GBK" w:eastAsia="方正仿宋_GBK" w:cs="方正仿宋_GBK"/>
                            <w:color w:val="000000"/>
                            <w:sz w:val="32"/>
                            <w:szCs w:val="32"/>
                            <w:lang w:eastAsia="zh-CN"/>
                          </w:rPr>
                          <w:t>会议</w:t>
                        </w:r>
                      </w:p>
                    </w:txbxContent>
                  </v:textbox>
                </v:rect>
                <v:rect id="_x0000_s1026" o:spid="_x0000_s1026" o:spt="1" style="position:absolute;left:11784;top:163370;height:875;width:2262;v-text-anchor:middle;" filled="f" stroked="t" coordsize="21600,21600" o:gfxdata="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5pvm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inset="2.54mm,8.50385826771654pt,2.54mm,1.27mm">
                    <w:txbxContent>
                      <w:p w14:paraId="5A5934DA">
                        <w:pPr>
                          <w:jc w:val="center"/>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kern w:val="0"/>
                            <w:sz w:val="32"/>
                            <w:szCs w:val="32"/>
                            <w:lang w:val="en-US" w:eastAsia="zh-CN"/>
                          </w:rPr>
                          <w:t>修改完善复核</w:t>
                        </w:r>
                      </w:p>
                    </w:txbxContent>
                  </v:textbox>
                </v:rect>
                <v:rect id="_x0000_s1026" o:spid="_x0000_s1026" o:spt="1" style="position:absolute;left:11786;top:165480;height:875;width:2262;v-text-anchor:middle;" filled="f" stroked="t" coordsize="21600,21600" o:gfxdata="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vxdm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textbox inset="2.54mm,8.50385826771654pt,2.54mm,1.27mm">
                    <w:txbxContent>
                      <w:p w14:paraId="642F6880">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出具评审意见</w:t>
                        </w:r>
                      </w:p>
                    </w:txbxContent>
                  </v:textbox>
                </v:rect>
                <v:shape id="_x0000_s1026" o:spid="_x0000_s1026" o:spt="67" type="#_x0000_t67" style="position:absolute;left:12765;top:160149;height:1112;width:291;v-text-anchor:middle;" filled="f" stroked="t" coordsize="21600,21600" o:gfxdata="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B+AS5AAAA2gAA&#10;AA8AAAAAAAAAAQAgAAAAIgAAAGRycy9kb3ducmV2LnhtbFBLAQIUABQAAAAIAIdO4kAzLwWeOwAA&#10;ADkAAAAQAAAAAAAAAAEAIAAAAAgBAABkcnMvc2hhcGV4bWwueG1sUEsFBgAAAAAGAAYAWwEAALID&#10;AAAAAA==&#10;" adj="18774,5400">
                  <v:fill on="f" focussize="0,0"/>
                  <v:stroke weight="0.5pt" color="#000000" joinstyle="round"/>
                  <v:imagedata o:title=""/>
                  <o:lock v:ext="edit" aspectratio="f"/>
                </v:shape>
                <v:rect id="_x0000_s1026" o:spid="_x0000_s1026" o:spt="1" style="position:absolute;left:15415;top:158988;height:1441;width:4620;v-text-anchor:middle;" filled="f" stroked="t" coordsize="21600,21600" o:gfxdata="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SS5HtwAAANoAAAAP&#10;AAAAAAAAAAEAIAAAACIAAABkcnMvZG93bnJldi54bWxQSwECFAAUAAAACACHTuJAMy8FnjsAAAA5&#10;AAAAEAAAAAAAAAABACAAAAAGAQAAZHJzL3NoYXBleG1sLnhtbFBLBQYAAAAABgAGAFsBAACwAwAA&#10;AAA=&#10;">
                  <v:fill on="f" focussize="0,0"/>
                  <v:stroke weight="0.5pt" color="#000000" joinstyle="round"/>
                  <v:imagedata o:title=""/>
                  <o:lock v:ext="edit" aspectratio="f"/>
                  <v:textbox>
                    <w:txbxContent>
                      <w:p w14:paraId="50253750">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1.政务大厅将申请材料移交至评审机构；</w:t>
                        </w:r>
                      </w:p>
                      <w:p w14:paraId="4D6721F1">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2.评审机构对申请材料进行复核，符合要求的予以接件受理，不符合的一次性通知申请单位补充提交；</w:t>
                        </w:r>
                      </w:p>
                    </w:txbxContent>
                  </v:textbox>
                </v:rect>
                <v:rect id="_x0000_s1026" o:spid="_x0000_s1026" o:spt="1" style="position:absolute;left:15420;top:160743;height:1942;width:4620;v-text-anchor:middle;" filled="f" stroked="t" coordsize="21600,21600" o:gfxdata="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Q5aK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14:paraId="6BEFD076">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3.确定评审时间，向</w:t>
                        </w:r>
                        <w:r>
                          <w:rPr>
                            <w:rFonts w:hint="eastAsia" w:ascii="方正仿宋_GBK" w:hAnsi="方正仿宋_GBK" w:eastAsia="方正仿宋_GBK" w:cs="方正仿宋_GBK"/>
                            <w:color w:val="000000"/>
                            <w:lang w:eastAsia="zh-CN"/>
                          </w:rPr>
                          <w:t>上级</w:t>
                        </w:r>
                        <w:r>
                          <w:rPr>
                            <w:rFonts w:hint="eastAsia" w:ascii="方正仿宋_GBK" w:hAnsi="方正仿宋_GBK" w:eastAsia="方正仿宋_GBK" w:cs="方正仿宋_GBK"/>
                            <w:color w:val="000000"/>
                          </w:rPr>
                          <w:t>评审机构报送评审安排信息表；</w:t>
                        </w:r>
                      </w:p>
                      <w:p w14:paraId="77020E89">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4.确定评审专家数量和结构，在储量评审专家库内随机抽取评审专家；</w:t>
                        </w:r>
                      </w:p>
                      <w:p w14:paraId="54C40E90">
                        <w:pPr>
                          <w:spacing w:line="300" w:lineRule="exact"/>
                          <w:jc w:val="left"/>
                          <w:rPr>
                            <w:rFonts w:ascii="方正仿宋_GBK" w:hAnsi="方正仿宋_GBK" w:eastAsia="方正仿宋_GBK" w:cs="方正仿宋_GBK"/>
                            <w:color w:val="000000"/>
                          </w:rPr>
                        </w:pPr>
                        <w:r>
                          <w:rPr>
                            <w:rFonts w:hint="eastAsia" w:ascii="方正仿宋_GBK" w:hAnsi="方正仿宋_GBK" w:eastAsia="方正仿宋_GBK" w:cs="方正仿宋_GBK"/>
                            <w:color w:val="000000"/>
                          </w:rPr>
                          <w:t>5.召开评审会，符合现场核查要求的应及时安排现场核查；</w:t>
                        </w:r>
                      </w:p>
                    </w:txbxContent>
                  </v:textbox>
                </v:rect>
                <v:rect id="_x0000_s1026" o:spid="_x0000_s1026" o:spt="1" style="position:absolute;left:15407;top:162991;height:1665;width:4620;v-text-anchor:middle;" filled="f" stroked="t" coordsize="21600,21600" o:gfxdata="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xUzDbUAAADbAAAADwAA&#10;AAAAAAABACAAAAAiAAAAZHJzL2Rvd25yZXYueG1sUEsBAhQAFAAAAAgAh07iQDMvBZ47AAAAOQAA&#10;ABAAAAAAAAAAAQAgAAAABAEAAGRycy9zaGFwZXhtbC54bWxQSwUGAAAAAAYABgBbAQAArgMAAAAA&#10;">
                  <v:fill on="f" focussize="0,0"/>
                  <v:stroke weight="0.5pt" color="#000000" joinstyle="round"/>
                  <v:imagedata o:title=""/>
                  <o:lock v:ext="edit" aspectratio="f"/>
                  <v:textbox>
                    <w:txbxContent>
                      <w:p w14:paraId="33CF6E8D">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6.通过评审的，现场形成评审意见书；同意修改完善后通过评审的，现场形成专家组修改意见表；未通过评审的，予以退件；</w:t>
                        </w:r>
                      </w:p>
                      <w:p w14:paraId="2C1D940B">
                        <w:pPr>
                          <w:spacing w:line="300" w:lineRule="exact"/>
                          <w:jc w:val="left"/>
                          <w:rPr>
                            <w:rFonts w:ascii="方正仿宋_GBK" w:hAnsi="方正仿宋_GBK" w:eastAsia="方正仿宋_GBK" w:cs="方正仿宋_GBK"/>
                            <w:color w:val="000000"/>
                          </w:rPr>
                        </w:pPr>
                        <w:r>
                          <w:rPr>
                            <w:rFonts w:hint="eastAsia" w:ascii="方正仿宋_GBK" w:hAnsi="方正仿宋_GBK" w:eastAsia="方正仿宋_GBK" w:cs="方正仿宋_GBK"/>
                            <w:color w:val="000000"/>
                          </w:rPr>
                          <w:t>7.评审机构对专家评审情况进行</w:t>
                        </w:r>
                        <w:r>
                          <w:rPr>
                            <w:rFonts w:hint="eastAsia" w:ascii="方正仿宋_GBK" w:hAnsi="方正仿宋_GBK" w:eastAsia="方正仿宋_GBK" w:cs="方正仿宋_GBK"/>
                            <w:color w:val="000000"/>
                            <w:lang w:val="en-US" w:eastAsia="zh-CN"/>
                          </w:rPr>
                          <w:t>专题会议研究</w:t>
                        </w:r>
                        <w:r>
                          <w:rPr>
                            <w:rFonts w:hint="eastAsia" w:ascii="方正仿宋_GBK" w:hAnsi="方正仿宋_GBK" w:eastAsia="方正仿宋_GBK" w:cs="方正仿宋_GBK"/>
                            <w:color w:val="000000"/>
                          </w:rPr>
                          <w:t>，</w:t>
                        </w:r>
                        <w:r>
                          <w:rPr>
                            <w:rFonts w:hint="eastAsia" w:ascii="方正仿宋_GBK" w:hAnsi="方正仿宋_GBK" w:eastAsia="方正仿宋_GBK" w:cs="方正仿宋_GBK"/>
                            <w:color w:val="000000"/>
                            <w:lang w:val="en-US" w:eastAsia="zh-CN"/>
                          </w:rPr>
                          <w:t>组织专家和编制单位</w:t>
                        </w:r>
                        <w:r>
                          <w:rPr>
                            <w:rFonts w:hint="eastAsia" w:ascii="方正仿宋_GBK" w:hAnsi="方正仿宋_GBK" w:eastAsia="方正仿宋_GBK" w:cs="方正仿宋_GBK"/>
                            <w:color w:val="000000"/>
                          </w:rPr>
                          <w:t>规定时间内完成修改复核；</w:t>
                        </w:r>
                      </w:p>
                      <w:p w14:paraId="26B1C0F2">
                        <w:pPr>
                          <w:jc w:val="center"/>
                          <w:rPr>
                            <w:color w:val="000000"/>
                          </w:rPr>
                        </w:pPr>
                        <w:r>
                          <w:rPr>
                            <w:rFonts w:hint="eastAsia"/>
                            <w:color w:val="000000"/>
                          </w:rPr>
                          <w:t>2.评审机构对申请材料进行复核，符合要求的予以接件受理，不符合的一次性通知申请单位补充提交；</w:t>
                        </w:r>
                      </w:p>
                    </w:txbxContent>
                  </v:textbox>
                </v:rect>
                <v:rect id="_x0000_s1026" o:spid="_x0000_s1026" o:spt="1" style="position:absolute;left:15404;top:165305;height:1291;width:4620;v-text-anchor:middle;" filled="f" stroked="t" coordsize="21600,21600" o:gfxdata="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QQkQrgAAADa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textbox>
                    <w:txbxContent>
                      <w:p w14:paraId="2A07221C">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8.通过专家组复核的，形成专家评审意见书，评审机构审核无误后签发；未通过修改复核的，继续修改，无法按期完成修改的，予以退件；</w:t>
                        </w:r>
                      </w:p>
                    </w:txbxContent>
                  </v:textbox>
                </v:rect>
                <v:rect id="_x0000_s1026" o:spid="_x0000_s1026" o:spt="1" style="position:absolute;left:11369;top:158058;height:10792;width:8977;v-text-anchor:middle;" filled="f" stroked="t" coordsize="21600,21600" o:gfxdata="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BYvctwAAANoAAAAP&#10;AAAAAAAAAAEAIAAAACIAAABkcnMvZG93bnJldi54bWxQSwECFAAUAAAACACHTuJAMy8FnjsAAAA5&#10;AAAAEAAAAAAAAAABACAAAAAGAQAAZHJzL3NoYXBleG1sLnhtbFBLBQYAAAAABgAGAFsBAACwAwAA&#10;AAA=&#10;">
                  <v:fill on="f" focussize="0,0"/>
                  <v:stroke weight="0.5pt" color="#000000" joinstyle="round"/>
                  <v:imagedata o:title=""/>
                  <o:lock v:ext="edit" aspectratio="f"/>
                </v:rect>
                <v:line id="_x0000_s1026" o:spid="_x0000_s1026" o:spt="20" style="position:absolute;left:14112;top:159606;height:0;width:1308;" filled="f" stroked="t" coordsize="21600,21600" o:gfxdata="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hvlrsAAADa&#10;AAAADwAAAAAAAAABACAAAAAiAAAAZHJzL2Rvd25yZXYueG1sUEsBAhQAFAAAAAgAh07iQDMvBZ47&#10;AAAAOQAAABAAAAAAAAAAAQAgAAAACgEAAGRycy9zaGFwZXhtbC54bWxQSwUGAAAAAAYABgBbAQAA&#10;tAMAAAAA&#10;">
                  <v:fill on="f" focussize="0,0"/>
                  <v:stroke weight="1pt" color="#000000" joinstyle="round" dashstyle="3 1"/>
                  <v:imagedata o:title=""/>
                  <o:lock v:ext="edit" aspectratio="f"/>
                </v:line>
                <v:line id="_x0000_s1026" o:spid="_x0000_s1026" o:spt="20" style="position:absolute;left:14083;top:161704;height:0;width:1308;" filled="f" stroked="t" coordsize="21600,21600" o:gfxdata="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4ayHvQAA&#10;ANsAAAAPAAAAAAAAAAEAIAAAACIAAABkcnMvZG93bnJldi54bWxQSwECFAAUAAAACACHTuJAMy8F&#10;njsAAAA5AAAAEAAAAAAAAAABACAAAAAMAQAAZHJzL3NoYXBleG1sLnhtbFBLBQYAAAAABgAGAFsB&#10;AAC2AwAAAAA=&#10;">
                  <v:fill on="f" focussize="0,0"/>
                  <v:stroke weight="1pt" color="#000000" joinstyle="round" dashstyle="3 1"/>
                  <v:imagedata o:title=""/>
                  <o:lock v:ext="edit" aspectratio="f"/>
                </v:line>
                <v:line id="_x0000_s1026" o:spid="_x0000_s1026" o:spt="20" style="position:absolute;left:14057;top:163793;height:0;width:1308;" filled="f" stroked="t" coordsize="21600,21600" o:gfxdata="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MzLwugAAANsA&#10;AAAPAAAAAAAAAAEAIAAAACIAAABkcnMvZG93bnJldi54bWxQSwECFAAUAAAACACHTuJAMy8FnjsA&#10;AAA5AAAAEAAAAAAAAAABACAAAAAJAQAAZHJzL3NoYXBleG1sLnhtbFBLBQYAAAAABgAGAFsBAACz&#10;AwAAAAA=&#10;">
                  <v:fill on="f" focussize="0,0"/>
                  <v:stroke weight="1pt" color="#000000" joinstyle="round" dashstyle="3 1"/>
                  <v:imagedata o:title=""/>
                  <o:lock v:ext="edit" aspectratio="f"/>
                </v:line>
                <v:line id="_x0000_s1026" o:spid="_x0000_s1026" o:spt="20" style="position:absolute;left:14070;top:165930;height:0;width:1308;" filled="f" stroked="t" coordsize="21600,21600" o:gfxdata="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yhb1bgAAADbAAAA&#10;DwAAAAAAAAABACAAAAAiAAAAZHJzL2Rvd25yZXYueG1sUEsBAhQAFAAAAAgAh07iQDMvBZ47AAAA&#10;OQAAABAAAAAAAAAAAQAgAAAABwEAAGRycy9zaGFwZXhtbC54bWxQSwUGAAAAAAYABgBbAQAAsQMA&#10;AAAA&#10;">
                  <v:fill on="f" focussize="0,0"/>
                  <v:stroke weight="1pt" color="#000000" joinstyle="round" dashstyle="3 1"/>
                  <v:imagedata o:title=""/>
                  <o:lock v:ext="edit" aspectratio="f"/>
                </v:line>
                <v:shape id="_x0000_s1026" o:spid="_x0000_s1026" o:spt="67" type="#_x0000_t67" style="position:absolute;left:12765;top:162148;height:1216;width:291;v-text-anchor:middle;" filled="f" stroked="t" coordsize="21600,21600" o:gfxdata="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O+17sAAADb&#10;AAAADwAAAAAAAAABACAAAAAiAAAAZHJzL2Rvd25yZXYueG1sUEsBAhQAFAAAAAgAh07iQDMvBZ47&#10;AAAAOQAAABAAAAAAAAAAAQAgAAAACgEAAGRycy9zaGFwZXhtbC54bWxQSwUGAAAAAAYABgBbAQAA&#10;tAMAAAAA&#10;" adj="19016,5400">
                  <v:fill on="f" focussize="0,0"/>
                  <v:stroke weight="0.5pt" color="#000000" joinstyle="round"/>
                  <v:imagedata o:title=""/>
                  <o:lock v:ext="edit" aspectratio="f"/>
                </v:shape>
                <v:shape id="_x0000_s1026" o:spid="_x0000_s1026" o:spt="67" type="#_x0000_t67" style="position:absolute;left:12750;top:166378;height:1216;width:291;v-text-anchor:middle;" filled="f" stroked="t" coordsize="21600,21600" o:gfxdata="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uJPbsAAADb&#10;AAAADwAAAAAAAAABACAAAAAiAAAAZHJzL2Rvd25yZXYueG1sUEsBAhQAFAAAAAgAh07iQDMvBZ47&#10;AAAAOQAAABAAAAAAAAAAAQAgAAAACgEAAGRycy9zaGFwZXhtbC54bWxQSwUGAAAAAAYABgBbAQAA&#10;tAMAAAAA&#10;" adj="19016,5400">
                  <v:fill on="f" focussize="0,0"/>
                  <v:stroke weight="0.5pt" color="#000000" joinstyle="round"/>
                  <v:imagedata o:title=""/>
                  <o:lock v:ext="edit" aspectratio="f"/>
                </v:shape>
                <v:shape id="_x0000_s1026" o:spid="_x0000_s1026" o:spt="67" type="#_x0000_t67" style="position:absolute;left:12765;top:164293;height:1171;width:291;v-text-anchor:middle;" filled="f" stroked="t" coordsize="21600,21600" o:gfxdata="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7PDr4A&#10;AADbAAAADwAAAAAAAAABACAAAAAiAAAAZHJzL2Rvd25yZXYueG1sUEsBAhQAFAAAAAgAh07iQDMv&#10;BZ47AAAAOQAAABAAAAAAAAAAAQAgAAAADQEAAGRycy9zaGFwZXhtbC54bWxQSwUGAAAAAAYABgBb&#10;AQAAtwMAAAAA&#10;" adj="18917,5400">
                  <v:fill on="f" focussize="0,0"/>
                  <v:stroke weight="0.5pt" color="#000000" joinstyle="round"/>
                  <v:imagedata o:title=""/>
                  <o:lock v:ext="edit" aspectratio="f"/>
                </v:shape>
                <v:rect id="_x0000_s1026" o:spid="_x0000_s1026" o:spt="1" style="position:absolute;left:11786;top:167595;height:875;width:2262;v-text-anchor:middle;" filled="f" stroked="t" coordsize="21600,21600" o:gfxdata="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4s/c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textbox inset="2.54mm,8.50385826771654pt,2.54mm,1.27mm">
                    <w:txbxContent>
                      <w:p w14:paraId="31621334">
                        <w:pPr>
                          <w:jc w:val="center"/>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印发备案结果</w:t>
                        </w:r>
                      </w:p>
                    </w:txbxContent>
                  </v:textbox>
                </v:rect>
                <v:rect id="_x0000_s1026" o:spid="_x0000_s1026" o:spt="1" style="position:absolute;left:15389;top:167278;height:1471;width:4620;v-text-anchor:middle;" filled="f" stroked="t" coordsize="21600,21600" o:gfxdata="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7AO4rUAAADbAAAADwAA&#10;AAAAAAABACAAAAAiAAAAZHJzL2Rvd25yZXYueG1sUEsBAhQAFAAAAAgAh07iQDMvBZ47AAAAOQAA&#10;ABAAAAAAAAAAAQAgAAAABAEAAGRycy9zaGFwZXhtbC54bWxQSwUGAAAAAAYABgBbAQAArgMAAAAA&#10;">
                  <v:fill on="f" focussize="0,0"/>
                  <v:stroke weight="0.5pt" color="#000000" joinstyle="round"/>
                  <v:imagedata o:title=""/>
                  <o:lock v:ext="edit" aspectratio="f"/>
                  <v:textbox>
                    <w:txbxContent>
                      <w:p w14:paraId="197C99A4">
                        <w:pPr>
                          <w:spacing w:line="300" w:lineRule="exact"/>
                          <w:jc w:val="left"/>
                          <w:rPr>
                            <w:rFonts w:hint="eastAsia" w:ascii="方正仿宋_GBK" w:hAnsi="方正仿宋_GBK" w:eastAsia="方正仿宋_GBK" w:cs="方正仿宋_GBK"/>
                            <w:color w:val="000000"/>
                          </w:rPr>
                        </w:pPr>
                        <w:r>
                          <w:rPr>
                            <w:rFonts w:hint="eastAsia" w:ascii="方正仿宋_GBK" w:hAnsi="方正仿宋_GBK" w:eastAsia="方正仿宋_GBK" w:cs="方正仿宋_GBK"/>
                            <w:color w:val="000000"/>
                          </w:rPr>
                          <w:t>9.填写矿产资源储量评审备案信息表，</w:t>
                        </w:r>
                        <w:r>
                          <w:rPr>
                            <w:rFonts w:hint="eastAsia" w:ascii="方正仿宋_GBK" w:hAnsi="方正仿宋_GBK" w:eastAsia="方正仿宋_GBK" w:cs="方正仿宋_GBK"/>
                            <w:color w:val="000000"/>
                            <w:lang w:eastAsia="zh-CN"/>
                          </w:rPr>
                          <w:t>报送同级规划自然资源主管部门备案，印发评审备案的复函，交政务大厅发件</w:t>
                        </w:r>
                        <w:r>
                          <w:rPr>
                            <w:rFonts w:hint="eastAsia" w:ascii="方正仿宋_GBK" w:hAnsi="方正仿宋_GBK" w:eastAsia="方正仿宋_GBK" w:cs="方正仿宋_GBK"/>
                            <w:color w:val="000000"/>
                          </w:rPr>
                          <w:t>。</w:t>
                        </w:r>
                      </w:p>
                      <w:p w14:paraId="6EF21223">
                        <w:pPr>
                          <w:spacing w:line="300" w:lineRule="exact"/>
                          <w:jc w:val="left"/>
                        </w:pPr>
                        <w:r>
                          <w:rPr>
                            <w:rFonts w:hint="eastAsia" w:ascii="方正仿宋_GBK" w:hAnsi="方正仿宋_GBK" w:eastAsia="方正仿宋_GBK" w:cs="方正仿宋_GBK"/>
                            <w:color w:val="000000"/>
                            <w:lang w:val="en-US" w:eastAsia="zh-CN"/>
                          </w:rPr>
                          <w:t>10.</w:t>
                        </w:r>
                        <w:r>
                          <w:rPr>
                            <w:rFonts w:hint="eastAsia" w:ascii="方正仿宋_GBK" w:hAnsi="方正仿宋_GBK" w:eastAsia="方正仿宋_GBK" w:cs="方正仿宋_GBK"/>
                            <w:color w:val="000000"/>
                            <w:lang w:eastAsia="zh-CN"/>
                          </w:rPr>
                          <w:t>通过门户网站向社会公开评审备案情况。</w:t>
                        </w:r>
                      </w:p>
                    </w:txbxContent>
                  </v:textbox>
                </v:rect>
                <v:line id="_x0000_s1026" o:spid="_x0000_s1026" o:spt="20" style="position:absolute;left:14055;top:168015;height:0;width:1308;" filled="f" stroked="t" coordsize="21600,21600" o:gfxdata="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HDobsAAADb&#10;AAAADwAAAAAAAAABACAAAAAiAAAAZHJzL2Rvd25yZXYueG1sUEsBAhQAFAAAAAgAh07iQDMvBZ47&#10;AAAAOQAAABAAAAAAAAAAAQAgAAAACgEAAGRycy9zaGFwZXhtbC54bWxQSwUGAAAAAAYABgBbAQAA&#10;tAMAAAAA&#10;">
                  <v:fill on="f" focussize="0,0"/>
                  <v:stroke weight="1pt" color="#000000" joinstyle="round" dashstyle="3 1"/>
                  <v:imagedata o:title=""/>
                  <o:lock v:ext="edit" aspectratio="f"/>
                </v:line>
              </v:group>
            </w:pict>
          </mc:Fallback>
        </mc:AlternateContent>
      </w:r>
    </w:p>
    <w:p w14:paraId="1C71B75A">
      <w:pPr>
        <w:pStyle w:val="8"/>
        <w:ind w:left="1058" w:leftChars="504" w:firstLine="0" w:firstLineChars="0"/>
        <w:rPr>
          <w:rFonts w:hint="default" w:ascii="Times New Roman" w:hAnsi="Times New Roman" w:eastAsia="方正黑体_GBK" w:cs="Times New Roman"/>
          <w:color w:val="000000" w:themeColor="text1"/>
          <w:sz w:val="32"/>
          <w:szCs w:val="32"/>
          <w:u w:val="none"/>
          <w14:textFill>
            <w14:solidFill>
              <w14:schemeClr w14:val="tx1"/>
            </w14:solidFill>
          </w14:textFill>
        </w:rPr>
      </w:pPr>
      <w:r>
        <w:rPr>
          <w:rFonts w:hint="default" w:ascii="Times New Roman" w:hAnsi="Times New Roman" w:eastAsia="方正黑体_GBK" w:cs="Times New Roman"/>
          <w:color w:val="000000" w:themeColor="text1"/>
          <w:sz w:val="32"/>
          <w:szCs w:val="32"/>
          <w14:textFill>
            <w14:solidFill>
              <w14:schemeClr w14:val="tx1"/>
            </w14:solidFill>
          </w14:textFill>
        </w:rPr>
        <w:t>工作环节</w:t>
      </w:r>
      <w:r>
        <w:rPr>
          <w:rFonts w:hint="eastAsia" w:ascii="Times New Roman" w:hAnsi="Times New Roman" w:eastAsia="方正小标宋_GBK" w:cs="Times New Roman"/>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方正黑体_GBK" w:cs="Times New Roman"/>
          <w:color w:val="000000" w:themeColor="text1"/>
          <w:sz w:val="32"/>
          <w:szCs w:val="32"/>
          <w:u w:val="none"/>
          <w:lang w:val="en-US" w:eastAsia="zh-CN"/>
          <w14:textFill>
            <w14:solidFill>
              <w14:schemeClr w14:val="tx1"/>
            </w14:solidFill>
          </w14:textFill>
        </w:rPr>
        <w:t xml:space="preserve">   </w:t>
      </w:r>
      <w:r>
        <w:rPr>
          <w:rFonts w:hint="eastAsia" w:ascii="Times New Roman" w:hAnsi="Times New Roman" w:eastAsia="方正黑体_GBK" w:cs="Times New Roman"/>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方正黑体_GBK" w:cs="Times New Roman"/>
          <w:color w:val="000000" w:themeColor="text1"/>
          <w:sz w:val="32"/>
          <w:szCs w:val="32"/>
          <w:u w:val="none"/>
          <w:lang w:val="en-US" w:eastAsia="zh-CN"/>
          <w14:textFill>
            <w14:solidFill>
              <w14:schemeClr w14:val="tx1"/>
            </w14:solidFill>
          </w14:textFill>
        </w:rPr>
        <w:t xml:space="preserve">  </w:t>
      </w:r>
      <w:r>
        <w:rPr>
          <w:rFonts w:hint="default" w:ascii="Times New Roman" w:hAnsi="Times New Roman" w:eastAsia="方正黑体_GBK" w:cs="Times New Roman"/>
          <w:color w:val="000000" w:themeColor="text1"/>
          <w:sz w:val="32"/>
          <w:szCs w:val="32"/>
          <w:u w:val="none"/>
          <w14:textFill>
            <w14:solidFill>
              <w14:schemeClr w14:val="tx1"/>
            </w14:solidFill>
          </w14:textFill>
        </w:rPr>
        <w:t>工作内容</w:t>
      </w:r>
    </w:p>
    <w:p w14:paraId="5CF7B944">
      <w:pPr>
        <w:rPr>
          <w:rFonts w:hint="default" w:ascii="Times New Roman" w:hAnsi="Times New Roman" w:cs="Times New Roman"/>
          <w:color w:val="000000" w:themeColor="text1"/>
          <w14:textFill>
            <w14:solidFill>
              <w14:schemeClr w14:val="tx1"/>
            </w14:solidFill>
          </w14:textFill>
        </w:rPr>
      </w:pPr>
    </w:p>
    <w:p w14:paraId="41CA6D9C">
      <w:pPr>
        <w:spacing w:line="300" w:lineRule="exact"/>
        <w:jc w:val="left"/>
        <w:rPr>
          <w:rFonts w:hint="default" w:ascii="Times New Roman" w:hAnsi="Times New Roman" w:cs="Times New Roman"/>
          <w:color w:val="000000" w:themeColor="text1"/>
          <w14:textFill>
            <w14:solidFill>
              <w14:schemeClr w14:val="tx1"/>
            </w14:solidFill>
          </w14:textFill>
        </w:rPr>
      </w:pPr>
    </w:p>
    <w:p w14:paraId="57319F9E">
      <w:pPr>
        <w:pStyle w:val="8"/>
        <w:ind w:left="840" w:hanging="420"/>
        <w:rPr>
          <w:rFonts w:ascii="Times New Roman" w:hAnsi="Times New Roman" w:cs="Times New Roman"/>
          <w:color w:val="000000" w:themeColor="text1"/>
          <w14:textFill>
            <w14:solidFill>
              <w14:schemeClr w14:val="tx1"/>
            </w14:solidFill>
          </w14:textFill>
        </w:rPr>
      </w:pPr>
    </w:p>
    <w:p w14:paraId="3EDDD743">
      <w:pPr>
        <w:overflowPunct w:val="0"/>
        <w:spacing w:line="600" w:lineRule="exact"/>
        <w:rPr>
          <w:rFonts w:ascii="Times New Roman" w:hAnsi="Times New Roman" w:eastAsia="方正仿宋_GBK" w:cs="Times New Roman"/>
          <w:color w:val="000000" w:themeColor="text1"/>
          <w:kern w:val="0"/>
          <w:sz w:val="32"/>
          <w:szCs w:val="32"/>
          <w14:textFill>
            <w14:solidFill>
              <w14:schemeClr w14:val="tx1"/>
            </w14:solidFill>
          </w14:textFill>
        </w:rPr>
      </w:pPr>
    </w:p>
    <w:p w14:paraId="5AF776E8">
      <w:pPr>
        <w:rPr>
          <w:rFonts w:ascii="Times New Roman" w:hAnsi="Times New Roman" w:eastAsia="方正仿宋_GBK" w:cs="Times New Roman"/>
          <w:color w:val="000000" w:themeColor="text1"/>
          <w:kern w:val="0"/>
          <w:sz w:val="32"/>
          <w:szCs w:val="32"/>
          <w14:textFill>
            <w14:solidFill>
              <w14:schemeClr w14:val="tx1"/>
            </w14:solidFill>
          </w14:textFill>
        </w:rPr>
        <w:sectPr>
          <w:headerReference r:id="rId4" w:type="first"/>
          <w:footerReference r:id="rId6" w:type="first"/>
          <w:headerReference r:id="rId3" w:type="default"/>
          <w:footerReference r:id="rId5" w:type="default"/>
          <w:pgSz w:w="11860" w:h="16850"/>
          <w:pgMar w:top="1962" w:right="1474" w:bottom="1848" w:left="1587" w:header="850" w:footer="992" w:gutter="0"/>
          <w:pgNumType w:fmt="decimal"/>
          <w:cols w:space="0" w:num="1"/>
          <w:rtlGutter w:val="0"/>
          <w:docGrid w:linePitch="0" w:charSpace="0"/>
        </w:sectPr>
      </w:pPr>
    </w:p>
    <w:p w14:paraId="2E09A300">
      <w:pPr>
        <w:overflowPunct w:val="0"/>
        <w:spacing w:line="600" w:lineRule="exact"/>
        <w:rPr>
          <w:rFonts w:ascii="Times New Roman" w:hAnsi="Times New Roman" w:eastAsia="方正黑体_GBK" w:cs="Times New Roman"/>
          <w:color w:val="000000" w:themeColor="text1"/>
          <w:sz w:val="32"/>
          <w:szCs w:val="32"/>
          <w14:textFill>
            <w14:solidFill>
              <w14:schemeClr w14:val="tx1"/>
            </w14:solidFill>
          </w14:textFill>
        </w:rPr>
      </w:pPr>
    </w:p>
    <w:p w14:paraId="34A8253D">
      <w:pPr>
        <w:overflowPunct w:val="0"/>
        <w:spacing w:line="600" w:lineRule="exact"/>
        <w:rPr>
          <w:rFonts w:ascii="Times New Roman" w:hAnsi="Times New Roman" w:eastAsia="方正黑体_GBK" w:cs="Times New Roman"/>
          <w:color w:val="000000" w:themeColor="text1"/>
          <w:sz w:val="32"/>
          <w:szCs w:val="32"/>
          <w14:textFill>
            <w14:solidFill>
              <w14:schemeClr w14:val="tx1"/>
            </w14:solidFill>
          </w14:textFill>
        </w:rPr>
      </w:pPr>
      <w:r>
        <w:rPr>
          <w:rFonts w:ascii="Times New Roman" w:hAnsi="Times New Roman" w:eastAsia="方正黑体_GBK" w:cs="Times New Roman"/>
          <w:color w:val="000000" w:themeColor="text1"/>
          <w:sz w:val="32"/>
          <w:szCs w:val="32"/>
          <w14:textFill>
            <w14:solidFill>
              <w14:schemeClr w14:val="tx1"/>
            </w14:solidFill>
          </w14:textFill>
        </w:rPr>
        <w:t>附</w:t>
      </w:r>
      <w:r>
        <w:rPr>
          <w:rFonts w:hint="eastAsia" w:eastAsia="方正黑体_GBK" w:cs="Times New Roman"/>
          <w:color w:val="000000" w:themeColor="text1"/>
          <w:sz w:val="32"/>
          <w:szCs w:val="32"/>
          <w:lang w:eastAsia="zh-CN"/>
          <w14:textFill>
            <w14:solidFill>
              <w14:schemeClr w14:val="tx1"/>
            </w14:solidFill>
          </w14:textFill>
        </w:rPr>
        <w:t>件</w:t>
      </w:r>
      <w:r>
        <w:rPr>
          <w:rFonts w:ascii="Times New Roman" w:hAnsi="Times New Roman" w:eastAsia="方正黑体_GBK" w:cs="Times New Roman"/>
          <w:color w:val="000000" w:themeColor="text1"/>
          <w:sz w:val="32"/>
          <w:szCs w:val="32"/>
          <w14:textFill>
            <w14:solidFill>
              <w14:schemeClr w14:val="tx1"/>
            </w14:solidFill>
          </w14:textFill>
        </w:rPr>
        <w:t>2</w:t>
      </w:r>
    </w:p>
    <w:p w14:paraId="4E320291"/>
    <w:p w14:paraId="689CD3F3">
      <w:pPr>
        <w:overflowPunct w:val="0"/>
        <w:spacing w:before="120" w:after="120" w:line="600"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矿产资源</w:t>
      </w:r>
      <w:r>
        <w:rPr>
          <w:rFonts w:hint="eastAsia" w:ascii="Times New Roman" w:hAnsi="Times New Roman" w:eastAsia="方正小标宋_GBK" w:cs="Times New Roman"/>
          <w:color w:val="000000" w:themeColor="text1"/>
          <w:sz w:val="44"/>
          <w:szCs w:val="44"/>
          <w:lang w:val="en-US" w:eastAsia="zh-CN"/>
          <w14:textFill>
            <w14:solidFill>
              <w14:schemeClr w14:val="tx1"/>
            </w14:solidFill>
          </w14:textFill>
        </w:rPr>
        <w:t>储量</w:t>
      </w:r>
      <w:r>
        <w:rPr>
          <w:rFonts w:ascii="Times New Roman" w:hAnsi="Times New Roman" w:eastAsia="方正小标宋_GBK" w:cs="Times New Roman"/>
          <w:color w:val="000000" w:themeColor="text1"/>
          <w:sz w:val="44"/>
          <w:szCs w:val="44"/>
          <w14:textFill>
            <w14:solidFill>
              <w14:schemeClr w14:val="tx1"/>
            </w14:solidFill>
          </w14:textFill>
        </w:rPr>
        <w:t>评审</w:t>
      </w:r>
      <w:r>
        <w:rPr>
          <w:rFonts w:hint="eastAsia" w:ascii="Times New Roman" w:hAnsi="Times New Roman" w:eastAsia="方正小标宋_GBK" w:cs="Times New Roman"/>
          <w:color w:val="000000" w:themeColor="text1"/>
          <w:sz w:val="44"/>
          <w:szCs w:val="44"/>
          <w:lang w:eastAsia="zh-CN"/>
          <w14:textFill>
            <w14:solidFill>
              <w14:schemeClr w14:val="tx1"/>
            </w14:solidFill>
          </w14:textFill>
        </w:rPr>
        <w:t>备案</w:t>
      </w:r>
      <w:r>
        <w:rPr>
          <w:rFonts w:ascii="Times New Roman" w:hAnsi="Times New Roman" w:eastAsia="方正小标宋_GBK" w:cs="Times New Roman"/>
          <w:color w:val="000000" w:themeColor="text1"/>
          <w:sz w:val="44"/>
          <w:szCs w:val="44"/>
          <w14:textFill>
            <w14:solidFill>
              <w14:schemeClr w14:val="tx1"/>
            </w14:solidFill>
          </w14:textFill>
        </w:rPr>
        <w:t>受理信息表</w:t>
      </w:r>
    </w:p>
    <w:tbl>
      <w:tblPr>
        <w:tblStyle w:val="11"/>
        <w:tblW w:w="14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470"/>
        <w:gridCol w:w="1257"/>
        <w:gridCol w:w="1331"/>
        <w:gridCol w:w="1001"/>
        <w:gridCol w:w="1238"/>
        <w:gridCol w:w="1459"/>
        <w:gridCol w:w="1140"/>
        <w:gridCol w:w="1367"/>
        <w:gridCol w:w="1574"/>
        <w:gridCol w:w="1627"/>
      </w:tblGrid>
      <w:tr w14:paraId="3204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94" w:type="dxa"/>
            <w:vAlign w:val="center"/>
          </w:tcPr>
          <w:p w14:paraId="17423FF0">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序号</w:t>
            </w:r>
          </w:p>
        </w:tc>
        <w:tc>
          <w:tcPr>
            <w:tcW w:w="1470" w:type="dxa"/>
            <w:vAlign w:val="center"/>
          </w:tcPr>
          <w:p w14:paraId="4E637303">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报告名称</w:t>
            </w:r>
          </w:p>
        </w:tc>
        <w:tc>
          <w:tcPr>
            <w:tcW w:w="1257" w:type="dxa"/>
            <w:vAlign w:val="center"/>
          </w:tcPr>
          <w:p w14:paraId="3A2E751A">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主矿种</w:t>
            </w:r>
          </w:p>
        </w:tc>
        <w:tc>
          <w:tcPr>
            <w:tcW w:w="1331" w:type="dxa"/>
            <w:vAlign w:val="center"/>
          </w:tcPr>
          <w:p w14:paraId="3DC09A46">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资源储量规模</w:t>
            </w:r>
          </w:p>
        </w:tc>
        <w:tc>
          <w:tcPr>
            <w:tcW w:w="1001" w:type="dxa"/>
            <w:vAlign w:val="center"/>
          </w:tcPr>
          <w:p w14:paraId="49113730">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评审</w:t>
            </w:r>
          </w:p>
          <w:p w14:paraId="6D6249A7">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事由</w:t>
            </w:r>
          </w:p>
        </w:tc>
        <w:tc>
          <w:tcPr>
            <w:tcW w:w="1238" w:type="dxa"/>
            <w:vAlign w:val="center"/>
          </w:tcPr>
          <w:p w14:paraId="3C321B1A">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发证机关</w:t>
            </w:r>
          </w:p>
        </w:tc>
        <w:tc>
          <w:tcPr>
            <w:tcW w:w="1459" w:type="dxa"/>
            <w:vAlign w:val="center"/>
          </w:tcPr>
          <w:p w14:paraId="5DC2B57A">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矿业权</w:t>
            </w:r>
          </w:p>
          <w:p w14:paraId="0EA3397A">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许可证号</w:t>
            </w:r>
          </w:p>
        </w:tc>
        <w:tc>
          <w:tcPr>
            <w:tcW w:w="1140" w:type="dxa"/>
            <w:vAlign w:val="center"/>
          </w:tcPr>
          <w:p w14:paraId="5BC93210">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申请人</w:t>
            </w:r>
          </w:p>
        </w:tc>
        <w:tc>
          <w:tcPr>
            <w:tcW w:w="1367" w:type="dxa"/>
            <w:vAlign w:val="center"/>
          </w:tcPr>
          <w:p w14:paraId="180CDC6D">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评审时间</w:t>
            </w:r>
          </w:p>
        </w:tc>
        <w:tc>
          <w:tcPr>
            <w:tcW w:w="1574" w:type="dxa"/>
            <w:vAlign w:val="center"/>
          </w:tcPr>
          <w:p w14:paraId="56163503">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评审地点</w:t>
            </w:r>
          </w:p>
        </w:tc>
        <w:tc>
          <w:tcPr>
            <w:tcW w:w="1627" w:type="dxa"/>
            <w:vAlign w:val="center"/>
          </w:tcPr>
          <w:p w14:paraId="3BB59FEA">
            <w:pPr>
              <w:spacing w:line="300" w:lineRule="exact"/>
              <w:jc w:val="cente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pPr>
            <w:r>
              <w:rPr>
                <w:rFonts w:hint="eastAsia" w:ascii="方正黑体_GBK" w:hAnsi="方正黑体_GBK" w:eastAsia="方正黑体_GBK" w:cs="方正黑体_GBK"/>
                <w:b w:val="0"/>
                <w:bCs w:val="0"/>
                <w:color w:val="000000" w:themeColor="text1"/>
                <w:spacing w:val="0"/>
                <w:sz w:val="24"/>
                <w14:textFill>
                  <w14:solidFill>
                    <w14:schemeClr w14:val="tx1"/>
                  </w14:solidFill>
                </w14:textFill>
              </w:rPr>
              <w:t>评审联系人及联系方式</w:t>
            </w:r>
          </w:p>
        </w:tc>
      </w:tr>
      <w:tr w14:paraId="7466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94" w:type="dxa"/>
            <w:vAlign w:val="center"/>
          </w:tcPr>
          <w:p w14:paraId="602696AA">
            <w:pPr>
              <w:spacing w:line="300" w:lineRule="exact"/>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w:t>
            </w:r>
          </w:p>
        </w:tc>
        <w:tc>
          <w:tcPr>
            <w:tcW w:w="1470" w:type="dxa"/>
            <w:vAlign w:val="center"/>
          </w:tcPr>
          <w:p w14:paraId="39795E63">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57" w:type="dxa"/>
            <w:vAlign w:val="center"/>
          </w:tcPr>
          <w:p w14:paraId="6327187A">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31" w:type="dxa"/>
            <w:vAlign w:val="center"/>
          </w:tcPr>
          <w:p w14:paraId="60C6FBBE">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001" w:type="dxa"/>
            <w:vAlign w:val="center"/>
          </w:tcPr>
          <w:p w14:paraId="7DFD2E92">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38" w:type="dxa"/>
            <w:vAlign w:val="center"/>
          </w:tcPr>
          <w:p w14:paraId="3F06E44A">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459" w:type="dxa"/>
            <w:vAlign w:val="center"/>
          </w:tcPr>
          <w:p w14:paraId="23389FE0">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140" w:type="dxa"/>
            <w:vAlign w:val="center"/>
          </w:tcPr>
          <w:p w14:paraId="39874E54">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67" w:type="dxa"/>
            <w:vAlign w:val="center"/>
          </w:tcPr>
          <w:p w14:paraId="704528A1">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574" w:type="dxa"/>
            <w:vAlign w:val="center"/>
          </w:tcPr>
          <w:p w14:paraId="6FF76059">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627" w:type="dxa"/>
            <w:vAlign w:val="center"/>
          </w:tcPr>
          <w:p w14:paraId="4D424A10">
            <w:pPr>
              <w:spacing w:line="300" w:lineRule="exact"/>
              <w:jc w:val="center"/>
              <w:rPr>
                <w:rFonts w:ascii="Times New Roman" w:hAnsi="Times New Roman" w:cs="Times New Roman"/>
                <w:color w:val="000000" w:themeColor="text1"/>
                <w:sz w:val="24"/>
                <w14:textFill>
                  <w14:solidFill>
                    <w14:schemeClr w14:val="tx1"/>
                  </w14:solidFill>
                </w14:textFill>
              </w:rPr>
            </w:pPr>
          </w:p>
        </w:tc>
      </w:tr>
      <w:tr w14:paraId="0F91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94" w:type="dxa"/>
            <w:vAlign w:val="center"/>
          </w:tcPr>
          <w:p w14:paraId="09709684">
            <w:pPr>
              <w:spacing w:line="300" w:lineRule="exact"/>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w:t>
            </w:r>
          </w:p>
        </w:tc>
        <w:tc>
          <w:tcPr>
            <w:tcW w:w="1470" w:type="dxa"/>
            <w:vAlign w:val="center"/>
          </w:tcPr>
          <w:p w14:paraId="355AAE77">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57" w:type="dxa"/>
            <w:vAlign w:val="center"/>
          </w:tcPr>
          <w:p w14:paraId="76B8C77C">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31" w:type="dxa"/>
            <w:vAlign w:val="center"/>
          </w:tcPr>
          <w:p w14:paraId="08535207">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001" w:type="dxa"/>
            <w:vAlign w:val="center"/>
          </w:tcPr>
          <w:p w14:paraId="332E35B1">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38" w:type="dxa"/>
            <w:vAlign w:val="center"/>
          </w:tcPr>
          <w:p w14:paraId="0C15F4AB">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459" w:type="dxa"/>
            <w:vAlign w:val="center"/>
          </w:tcPr>
          <w:p w14:paraId="5A533DC4">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140" w:type="dxa"/>
            <w:vAlign w:val="center"/>
          </w:tcPr>
          <w:p w14:paraId="7459551B">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67" w:type="dxa"/>
            <w:vAlign w:val="center"/>
          </w:tcPr>
          <w:p w14:paraId="2DCB1630">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574" w:type="dxa"/>
            <w:vAlign w:val="center"/>
          </w:tcPr>
          <w:p w14:paraId="5AD60062">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627" w:type="dxa"/>
            <w:vAlign w:val="center"/>
          </w:tcPr>
          <w:p w14:paraId="1F932EBC">
            <w:pPr>
              <w:spacing w:line="300" w:lineRule="exact"/>
              <w:jc w:val="center"/>
              <w:rPr>
                <w:rFonts w:ascii="Times New Roman" w:hAnsi="Times New Roman" w:cs="Times New Roman"/>
                <w:color w:val="000000" w:themeColor="text1"/>
                <w:sz w:val="24"/>
                <w14:textFill>
                  <w14:solidFill>
                    <w14:schemeClr w14:val="tx1"/>
                  </w14:solidFill>
                </w14:textFill>
              </w:rPr>
            </w:pPr>
          </w:p>
        </w:tc>
      </w:tr>
      <w:tr w14:paraId="732B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94" w:type="dxa"/>
            <w:vAlign w:val="center"/>
          </w:tcPr>
          <w:p w14:paraId="4F787C6B">
            <w:pPr>
              <w:spacing w:line="300" w:lineRule="exact"/>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3</w:t>
            </w:r>
          </w:p>
        </w:tc>
        <w:tc>
          <w:tcPr>
            <w:tcW w:w="1470" w:type="dxa"/>
            <w:vAlign w:val="center"/>
          </w:tcPr>
          <w:p w14:paraId="0CA55BF0">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57" w:type="dxa"/>
            <w:vAlign w:val="center"/>
          </w:tcPr>
          <w:p w14:paraId="0D148098">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31" w:type="dxa"/>
            <w:vAlign w:val="center"/>
          </w:tcPr>
          <w:p w14:paraId="7840D97A">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001" w:type="dxa"/>
            <w:vAlign w:val="center"/>
          </w:tcPr>
          <w:p w14:paraId="26504E42">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238" w:type="dxa"/>
            <w:vAlign w:val="center"/>
          </w:tcPr>
          <w:p w14:paraId="3AAADEA8">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459" w:type="dxa"/>
            <w:vAlign w:val="center"/>
          </w:tcPr>
          <w:p w14:paraId="59A68B42">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140" w:type="dxa"/>
            <w:vAlign w:val="center"/>
          </w:tcPr>
          <w:p w14:paraId="54CBD414">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367" w:type="dxa"/>
            <w:vAlign w:val="center"/>
          </w:tcPr>
          <w:p w14:paraId="783EF2F1">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574" w:type="dxa"/>
            <w:vAlign w:val="center"/>
          </w:tcPr>
          <w:p w14:paraId="64C45A41">
            <w:pPr>
              <w:spacing w:line="300" w:lineRule="exact"/>
              <w:jc w:val="center"/>
              <w:rPr>
                <w:rFonts w:ascii="Times New Roman" w:hAnsi="Times New Roman" w:cs="Times New Roman"/>
                <w:color w:val="000000" w:themeColor="text1"/>
                <w:sz w:val="24"/>
                <w14:textFill>
                  <w14:solidFill>
                    <w14:schemeClr w14:val="tx1"/>
                  </w14:solidFill>
                </w14:textFill>
              </w:rPr>
            </w:pPr>
          </w:p>
        </w:tc>
        <w:tc>
          <w:tcPr>
            <w:tcW w:w="1627" w:type="dxa"/>
            <w:vAlign w:val="center"/>
          </w:tcPr>
          <w:p w14:paraId="592D539A">
            <w:pPr>
              <w:spacing w:line="300" w:lineRule="exact"/>
              <w:jc w:val="center"/>
              <w:rPr>
                <w:rFonts w:ascii="Times New Roman" w:hAnsi="Times New Roman" w:cs="Times New Roman"/>
                <w:color w:val="000000" w:themeColor="text1"/>
                <w:sz w:val="24"/>
                <w14:textFill>
                  <w14:solidFill>
                    <w14:schemeClr w14:val="tx1"/>
                  </w14:solidFill>
                </w14:textFill>
              </w:rPr>
            </w:pPr>
          </w:p>
        </w:tc>
      </w:tr>
    </w:tbl>
    <w:p w14:paraId="591F78E7">
      <w:pPr>
        <w:spacing w:line="600" w:lineRule="exact"/>
        <w:rPr>
          <w:rFonts w:ascii="Times New Roman" w:hAnsi="Times New Roman" w:cs="Times New Roman"/>
          <w:color w:val="000000" w:themeColor="text1"/>
          <w:sz w:val="24"/>
          <w14:textFill>
            <w14:solidFill>
              <w14:schemeClr w14:val="tx1"/>
            </w14:solidFill>
          </w14:textFill>
        </w:rPr>
        <w:sectPr>
          <w:pgSz w:w="16850" w:h="11860" w:orient="landscape"/>
          <w:pgMar w:top="1417" w:right="1134" w:bottom="1417" w:left="1134" w:header="720" w:footer="1417" w:gutter="0"/>
          <w:pgNumType w:fmt="decimal"/>
          <w:cols w:space="0" w:num="1"/>
          <w:rtlGutter w:val="0"/>
          <w:docGrid w:linePitch="0" w:charSpace="0"/>
        </w:sectPr>
      </w:pPr>
    </w:p>
    <w:p w14:paraId="6E165C50">
      <w:pPr>
        <w:overflowPunct w:val="0"/>
        <w:spacing w:line="594" w:lineRule="exact"/>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color w:val="000000" w:themeColor="text1"/>
          <w:sz w:val="32"/>
          <w:szCs w:val="32"/>
          <w14:textFill>
            <w14:solidFill>
              <w14:schemeClr w14:val="tx1"/>
            </w14:solidFill>
          </w14:textFill>
        </w:rPr>
        <w:t>附</w:t>
      </w:r>
      <w:r>
        <w:rPr>
          <w:rFonts w:hint="eastAsia" w:eastAsia="方正黑体_GBK" w:cs="Times New Roman"/>
          <w:color w:val="000000" w:themeColor="text1"/>
          <w:sz w:val="32"/>
          <w:szCs w:val="32"/>
          <w:lang w:eastAsia="zh-CN"/>
          <w14:textFill>
            <w14:solidFill>
              <w14:schemeClr w14:val="tx1"/>
            </w14:solidFill>
          </w14:textFill>
        </w:rPr>
        <w:t>件</w:t>
      </w:r>
      <w:r>
        <w:rPr>
          <w:rFonts w:hint="eastAsia" w:ascii="Times New Roman" w:hAnsi="Times New Roman" w:eastAsia="方正黑体_GBK" w:cs="Times New Roman"/>
          <w:color w:val="000000" w:themeColor="text1"/>
          <w:sz w:val="32"/>
          <w:szCs w:val="32"/>
          <w:lang w:val="en-US" w:eastAsia="zh-CN"/>
          <w14:textFill>
            <w14:solidFill>
              <w14:schemeClr w14:val="tx1"/>
            </w14:solidFill>
          </w14:textFill>
        </w:rPr>
        <w:t>3</w:t>
      </w:r>
    </w:p>
    <w:p w14:paraId="15F8F084">
      <w:pPr>
        <w:pStyle w:val="15"/>
        <w:ind w:left="0" w:firstLine="0" w:firstLineChars="0"/>
        <w:jc w:val="center"/>
        <w:outlineLvl w:val="0"/>
        <w:rPr>
          <w:rFonts w:hint="default"/>
          <w:color w:val="000000" w:themeColor="text1"/>
          <w:lang w:val="en-US" w:eastAsia="zh-CN"/>
          <w14:textFill>
            <w14:solidFill>
              <w14:schemeClr w14:val="tx1"/>
            </w14:solidFill>
          </w14:textFill>
        </w:rPr>
      </w:pPr>
      <w:r>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t>矿产资源储量评审意见书（样式</w:t>
      </w:r>
      <w:r>
        <w:rPr>
          <w:rFonts w:hint="eastAsia" w:ascii="Times New Roman" w:hAnsi="Times New Roman" w:eastAsia="方正小标宋_GBK" w:cs="方正小标宋_GBK"/>
          <w:color w:val="000000" w:themeColor="text1"/>
          <w:sz w:val="44"/>
          <w:szCs w:val="44"/>
          <w:highlight w:val="none"/>
          <w:u w:val="none" w:color="auto"/>
          <w:lang w:val="en-US" w:eastAsia="zh-CN"/>
          <w14:textFill>
            <w14:solidFill>
              <w14:schemeClr w14:val="tx1"/>
            </w14:solidFill>
          </w14:textFill>
        </w:rPr>
        <w:t>一</w:t>
      </w:r>
      <w:r>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t>）</w:t>
      </w:r>
    </w:p>
    <w:tbl>
      <w:tblPr>
        <w:tblStyle w:val="11"/>
        <w:tblW w:w="8528" w:type="dxa"/>
        <w:jc w:val="center"/>
        <w:tblLayout w:type="fixed"/>
        <w:tblCellMar>
          <w:top w:w="0" w:type="dxa"/>
          <w:left w:w="108" w:type="dxa"/>
          <w:bottom w:w="0" w:type="dxa"/>
          <w:right w:w="108" w:type="dxa"/>
        </w:tblCellMar>
      </w:tblPr>
      <w:tblGrid>
        <w:gridCol w:w="8528"/>
      </w:tblGrid>
      <w:tr w14:paraId="2EFDFDFC">
        <w:tblPrEx>
          <w:tblCellMar>
            <w:top w:w="0" w:type="dxa"/>
            <w:left w:w="108" w:type="dxa"/>
            <w:bottom w:w="0" w:type="dxa"/>
            <w:right w:w="108" w:type="dxa"/>
          </w:tblCellMar>
        </w:tblPrEx>
        <w:trPr>
          <w:trHeight w:val="2988" w:hRule="atLeast"/>
          <w:jc w:val="center"/>
        </w:trPr>
        <w:tc>
          <w:tcPr>
            <w:tcW w:w="8528" w:type="dxa"/>
            <w:vAlign w:val="top"/>
          </w:tcPr>
          <w:p w14:paraId="2EDBA33F">
            <w:pPr>
              <w:pStyle w:val="15"/>
              <w:ind w:left="0" w:firstLine="0" w:firstLineChars="0"/>
              <w:jc w:val="center"/>
              <w:rPr>
                <w:rFonts w:hint="eastAsia" w:ascii="Times New Roman" w:hAnsi="Times New Roman" w:eastAsia="仿宋_GB2312" w:cs="仿宋_GB2312"/>
                <w:b/>
                <w:bCs w:val="0"/>
                <w:color w:val="000000" w:themeColor="text1"/>
                <w:sz w:val="40"/>
                <w:szCs w:val="40"/>
                <w14:textFill>
                  <w14:solidFill>
                    <w14:schemeClr w14:val="tx1"/>
                  </w14:solidFill>
                </w14:textFill>
              </w:rPr>
            </w:pPr>
            <w:r>
              <w:rPr>
                <w:rFonts w:hint="eastAsia" w:ascii="方正小标宋_GBK" w:hAnsi="方正小标宋_GBK" w:eastAsia="方正小标宋_GBK" w:cs="方正小标宋_GBK"/>
                <w:b w:val="0"/>
                <w:bCs/>
                <w:color w:val="000000" w:themeColor="text1"/>
                <w:sz w:val="40"/>
                <w:szCs w:val="40"/>
                <w14:textFill>
                  <w14:solidFill>
                    <w14:schemeClr w14:val="tx1"/>
                  </w14:solidFill>
                </w14:textFill>
              </w:rPr>
              <w:t>《</w:t>
            </w:r>
            <w:r>
              <w:rPr>
                <w:rFonts w:hint="eastAsia" w:ascii="方正小标宋_GBK" w:hAnsi="方正小标宋_GBK" w:eastAsia="方正小标宋_GBK" w:cs="方正小标宋_GBK"/>
                <w:b w:val="0"/>
                <w:bCs/>
                <w:snapToGrid w:val="0"/>
                <w:color w:val="000000" w:themeColor="text1"/>
                <w:sz w:val="40"/>
                <w:szCs w:val="40"/>
                <w:lang w:eastAsia="zh-CN"/>
                <w14:textFill>
                  <w14:solidFill>
                    <w14:schemeClr w14:val="tx1"/>
                  </w14:solidFill>
                </w14:textFill>
              </w:rPr>
              <w:t>×××</w:t>
            </w:r>
            <w:r>
              <w:rPr>
                <w:rFonts w:hint="eastAsia" w:ascii="方正小标宋_GBK" w:hAnsi="方正小标宋_GBK" w:eastAsia="方正小标宋_GBK" w:cs="方正小标宋_GBK"/>
                <w:b w:val="0"/>
                <w:bCs/>
                <w:snapToGrid w:val="0"/>
                <w:color w:val="000000" w:themeColor="text1"/>
                <w:sz w:val="40"/>
                <w:szCs w:val="40"/>
                <w:lang w:val="en-US" w:eastAsia="zh-CN"/>
                <w14:textFill>
                  <w14:solidFill>
                    <w14:schemeClr w14:val="tx1"/>
                  </w14:solidFill>
                </w14:textFill>
              </w:rPr>
              <w:t>储量核实报告</w:t>
            </w:r>
            <w:r>
              <w:rPr>
                <w:rFonts w:hint="eastAsia" w:ascii="方正小标宋_GBK" w:hAnsi="方正小标宋_GBK" w:eastAsia="方正小标宋_GBK" w:cs="方正小标宋_GBK"/>
                <w:b w:val="0"/>
                <w:bCs/>
                <w:color w:val="000000" w:themeColor="text1"/>
                <w:sz w:val="40"/>
                <w:szCs w:val="40"/>
                <w14:textFill>
                  <w14:solidFill>
                    <w14:schemeClr w14:val="tx1"/>
                  </w14:solidFill>
                </w14:textFill>
              </w:rPr>
              <w:t>》</w:t>
            </w:r>
          </w:p>
          <w:p w14:paraId="1D2E829F">
            <w:pPr>
              <w:pStyle w:val="15"/>
              <w:ind w:left="420" w:firstLine="0" w:firstLineChars="0"/>
              <w:rPr>
                <w:rFonts w:hint="eastAsia" w:ascii="Times New Roman" w:hAnsi="Times New Roman" w:eastAsia="仿宋_GB2312" w:cs="仿宋_GB2312"/>
                <w:color w:val="000000" w:themeColor="text1"/>
                <w:sz w:val="32"/>
                <w:szCs w:val="32"/>
                <w14:textFill>
                  <w14:solidFill>
                    <w14:schemeClr w14:val="tx1"/>
                  </w14:solidFill>
                </w14:textFill>
              </w:rPr>
            </w:pPr>
          </w:p>
          <w:p w14:paraId="581141D4">
            <w:pPr>
              <w:pStyle w:val="15"/>
              <w:ind w:left="420" w:firstLine="0" w:firstLineChars="0"/>
              <w:rPr>
                <w:rFonts w:hint="eastAsia" w:ascii="Times New Roman" w:hAnsi="Times New Roman" w:eastAsia="仿宋_GB2312" w:cs="仿宋_GB2312"/>
                <w:color w:val="000000" w:themeColor="text1"/>
                <w:sz w:val="32"/>
                <w:szCs w:val="32"/>
                <w14:textFill>
                  <w14:solidFill>
                    <w14:schemeClr w14:val="tx1"/>
                  </w14:solidFill>
                </w14:textFill>
              </w:rPr>
            </w:pPr>
          </w:p>
          <w:p w14:paraId="5895C056">
            <w:pPr>
              <w:pStyle w:val="15"/>
              <w:ind w:left="420" w:firstLine="0" w:firstLineChars="0"/>
              <w:rPr>
                <w:rFonts w:hint="eastAsia" w:ascii="Times New Roman" w:hAnsi="Times New Roman" w:eastAsia="仿宋_GB2312" w:cs="仿宋_GB2312"/>
                <w:color w:val="000000" w:themeColor="text1"/>
                <w:sz w:val="32"/>
                <w:szCs w:val="32"/>
                <w14:textFill>
                  <w14:solidFill>
                    <w14:schemeClr w14:val="tx1"/>
                  </w14:solidFill>
                </w14:textFill>
              </w:rPr>
            </w:pPr>
          </w:p>
        </w:tc>
      </w:tr>
      <w:tr w14:paraId="6A4F25A4">
        <w:tblPrEx>
          <w:tblCellMar>
            <w:top w:w="0" w:type="dxa"/>
            <w:left w:w="108" w:type="dxa"/>
            <w:bottom w:w="0" w:type="dxa"/>
            <w:right w:w="108" w:type="dxa"/>
          </w:tblCellMar>
        </w:tblPrEx>
        <w:trPr>
          <w:jc w:val="center"/>
        </w:trPr>
        <w:tc>
          <w:tcPr>
            <w:tcW w:w="8528" w:type="dxa"/>
            <w:vAlign w:val="top"/>
          </w:tcPr>
          <w:p w14:paraId="62AD7BF4">
            <w:pPr>
              <w:pStyle w:val="15"/>
              <w:ind w:left="420" w:firstLine="0" w:firstLineChars="0"/>
              <w:jc w:val="center"/>
              <w:rPr>
                <w:rFonts w:hint="eastAsia" w:ascii="Times New Roman" w:hAnsi="Times New Roman" w:eastAsia="方正小标宋_GBK" w:cs="方正小标宋_GBK"/>
                <w:b w:val="0"/>
                <w:bCs/>
                <w:color w:val="000000" w:themeColor="text1"/>
                <w:sz w:val="68"/>
                <w:szCs w:val="68"/>
                <w14:textFill>
                  <w14:solidFill>
                    <w14:schemeClr w14:val="tx1"/>
                  </w14:solidFill>
                </w14:textFill>
              </w:rPr>
            </w:pPr>
            <w:r>
              <w:rPr>
                <w:rFonts w:hint="eastAsia" w:ascii="Times New Roman" w:hAnsi="Times New Roman" w:eastAsia="方正小标宋_GBK" w:cs="方正小标宋_GBK"/>
                <w:b w:val="0"/>
                <w:bCs/>
                <w:color w:val="000000" w:themeColor="text1"/>
                <w:sz w:val="68"/>
                <w:szCs w:val="68"/>
                <w14:textFill>
                  <w14:solidFill>
                    <w14:schemeClr w14:val="tx1"/>
                  </w14:solidFill>
                </w14:textFill>
              </w:rPr>
              <w:t>矿产资源储量</w:t>
            </w:r>
          </w:p>
          <w:p w14:paraId="21FCA0AD">
            <w:pPr>
              <w:jc w:val="center"/>
              <w:rPr>
                <w:rFonts w:hint="eastAsia" w:ascii="Times New Roman" w:hAnsi="Times New Roman" w:eastAsia="仿宋_GB2312" w:cs="仿宋_GB2312"/>
                <w:b/>
                <w:color w:val="000000" w:themeColor="text1"/>
                <w:sz w:val="68"/>
                <w:szCs w:val="68"/>
                <w14:textFill>
                  <w14:solidFill>
                    <w14:schemeClr w14:val="tx1"/>
                  </w14:solidFill>
                </w14:textFill>
              </w:rPr>
            </w:pPr>
            <w:r>
              <w:rPr>
                <w:rFonts w:hint="eastAsia" w:ascii="Times New Roman" w:hAnsi="Times New Roman" w:eastAsia="方正小标宋_GBK" w:cs="方正小标宋_GBK"/>
                <w:b w:val="0"/>
                <w:bCs/>
                <w:color w:val="000000" w:themeColor="text1"/>
                <w:sz w:val="68"/>
                <w:szCs w:val="68"/>
                <w14:textFill>
                  <w14:solidFill>
                    <w14:schemeClr w14:val="tx1"/>
                  </w14:solidFill>
                </w14:textFill>
              </w:rPr>
              <w:t>评 审 意 见 书</w:t>
            </w:r>
          </w:p>
        </w:tc>
      </w:tr>
      <w:tr w14:paraId="756EC3FC">
        <w:tblPrEx>
          <w:tblCellMar>
            <w:top w:w="0" w:type="dxa"/>
            <w:left w:w="108" w:type="dxa"/>
            <w:bottom w:w="0" w:type="dxa"/>
            <w:right w:w="108" w:type="dxa"/>
          </w:tblCellMar>
        </w:tblPrEx>
        <w:trPr>
          <w:jc w:val="center"/>
        </w:trPr>
        <w:tc>
          <w:tcPr>
            <w:tcW w:w="8528" w:type="dxa"/>
            <w:vAlign w:val="top"/>
          </w:tcPr>
          <w:p w14:paraId="3E16C8D5">
            <w:pPr>
              <w:jc w:val="center"/>
              <w:rPr>
                <w:rFonts w:hint="eastAsia" w:ascii="Times New Roman" w:hAnsi="Times New Roman" w:eastAsia="仿宋_GB2312" w:cs="仿宋_GB2312"/>
                <w:color w:val="000000" w:themeColor="text1"/>
                <w:sz w:val="32"/>
                <w:szCs w:val="32"/>
                <w14:textFill>
                  <w14:solidFill>
                    <w14:schemeClr w14:val="tx1"/>
                  </w14:solidFill>
                </w14:textFill>
              </w:rPr>
            </w:pPr>
          </w:p>
        </w:tc>
      </w:tr>
      <w:tr w14:paraId="746FE44C">
        <w:tblPrEx>
          <w:tblCellMar>
            <w:top w:w="0" w:type="dxa"/>
            <w:left w:w="108" w:type="dxa"/>
            <w:bottom w:w="0" w:type="dxa"/>
            <w:right w:w="108" w:type="dxa"/>
          </w:tblCellMar>
        </w:tblPrEx>
        <w:trPr>
          <w:jc w:val="center"/>
        </w:trPr>
        <w:tc>
          <w:tcPr>
            <w:tcW w:w="8528" w:type="dxa"/>
            <w:vAlign w:val="top"/>
          </w:tcPr>
          <w:p w14:paraId="0A3C924E">
            <w:pPr>
              <w:jc w:val="cente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储审字〔</w:t>
            </w: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号</w:t>
            </w:r>
          </w:p>
        </w:tc>
      </w:tr>
      <w:tr w14:paraId="522C0155">
        <w:tblPrEx>
          <w:tblCellMar>
            <w:top w:w="0" w:type="dxa"/>
            <w:left w:w="108" w:type="dxa"/>
            <w:bottom w:w="0" w:type="dxa"/>
            <w:right w:w="108" w:type="dxa"/>
          </w:tblCellMar>
        </w:tblPrEx>
        <w:trPr>
          <w:trHeight w:val="90" w:hRule="atLeast"/>
          <w:jc w:val="center"/>
        </w:trPr>
        <w:tc>
          <w:tcPr>
            <w:tcW w:w="8528" w:type="dxa"/>
            <w:vAlign w:val="top"/>
          </w:tcPr>
          <w:p w14:paraId="598A1673">
            <w:pPr>
              <w:jc w:val="left"/>
              <w:rPr>
                <w:rFonts w:hint="default" w:ascii="Times New Roman" w:hAnsi="Times New Roman" w:eastAsia="方正仿宋_GBK" w:cs="Times New Roman"/>
                <w:color w:val="000000" w:themeColor="text1"/>
                <w:sz w:val="32"/>
                <w:szCs w:val="32"/>
                <w14:textFill>
                  <w14:solidFill>
                    <w14:schemeClr w14:val="tx1"/>
                  </w14:solidFill>
                </w14:textFill>
              </w:rPr>
            </w:pPr>
          </w:p>
          <w:p w14:paraId="1F8AFA10">
            <w:pPr>
              <w:jc w:val="left"/>
              <w:rPr>
                <w:rFonts w:hint="default" w:ascii="Times New Roman" w:hAnsi="Times New Roman" w:eastAsia="方正仿宋_GBK" w:cs="Times New Roman"/>
                <w:color w:val="000000" w:themeColor="text1"/>
                <w:sz w:val="32"/>
                <w:szCs w:val="32"/>
                <w14:textFill>
                  <w14:solidFill>
                    <w14:schemeClr w14:val="tx1"/>
                  </w14:solidFill>
                </w14:textFill>
              </w:rPr>
            </w:pPr>
          </w:p>
          <w:p w14:paraId="3825F041">
            <w:pPr>
              <w:overflowPunct w:val="0"/>
              <w:spacing w:line="560" w:lineRule="exact"/>
              <w:jc w:val="left"/>
              <w:rPr>
                <w:rFonts w:hint="default" w:ascii="Times New Roman" w:hAnsi="Times New Roman" w:eastAsia="方正仿宋_GBK" w:cs="Times New Roman"/>
                <w:color w:val="000000" w:themeColor="text1"/>
                <w:sz w:val="32"/>
                <w:szCs w:val="32"/>
                <w14:textFill>
                  <w14:solidFill>
                    <w14:schemeClr w14:val="tx1"/>
                  </w14:solidFill>
                </w14:textFill>
              </w:rPr>
            </w:pPr>
          </w:p>
          <w:p w14:paraId="7EE2FFFF">
            <w:pPr>
              <w:pStyle w:val="8"/>
              <w:ind w:left="0" w:leftChars="0" w:firstLine="0" w:firstLineChars="0"/>
              <w:rPr>
                <w:rFonts w:hint="default" w:ascii="Times New Roman" w:hAnsi="Times New Roman" w:eastAsia="方正仿宋_GBK" w:cs="Times New Roman"/>
                <w:color w:val="000000" w:themeColor="text1"/>
                <w:sz w:val="21"/>
                <w:szCs w:val="24"/>
                <w14:textFill>
                  <w14:solidFill>
                    <w14:schemeClr w14:val="tx1"/>
                  </w14:solidFill>
                </w14:textFill>
              </w:rPr>
            </w:pPr>
          </w:p>
          <w:p w14:paraId="2107F996">
            <w:pPr>
              <w:overflowPunct w:val="0"/>
              <w:spacing w:line="560" w:lineRule="exact"/>
              <w:jc w:val="cente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20</w:t>
            </w: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月</w:t>
            </w:r>
            <w:r>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日</w:t>
            </w:r>
          </w:p>
        </w:tc>
      </w:tr>
    </w:tbl>
    <w:p w14:paraId="487C9326">
      <w:pPr>
        <w:jc w:val="center"/>
        <w:rPr>
          <w:rFonts w:hint="default" w:ascii="Times New Roman" w:hAnsi="Times New Roman" w:eastAsia="方正仿宋_GBK" w:cs="Times New Roman"/>
          <w:color w:val="000000" w:themeColor="text1"/>
          <w:sz w:val="32"/>
          <w:szCs w:val="32"/>
          <w14:textFill>
            <w14:solidFill>
              <w14:schemeClr w14:val="tx1"/>
            </w14:solidFill>
          </w14:textFill>
        </w:rPr>
        <w:sectPr>
          <w:headerReference r:id="rId7" w:type="default"/>
          <w:footerReference r:id="rId8" w:type="default"/>
          <w:pgSz w:w="11906" w:h="16838"/>
          <w:pgMar w:top="1962" w:right="1474" w:bottom="1848" w:left="1587" w:header="851" w:footer="1417" w:gutter="0"/>
          <w:pgNumType w:fmt="decimal"/>
          <w:cols w:space="0" w:num="1"/>
          <w:rtlGutter w:val="0"/>
          <w:docGrid w:type="lines" w:linePitch="312" w:charSpace="0"/>
        </w:sectPr>
      </w:pPr>
    </w:p>
    <w:tbl>
      <w:tblPr>
        <w:tblStyle w:val="11"/>
        <w:tblW w:w="9232" w:type="dxa"/>
        <w:tblInd w:w="0" w:type="dxa"/>
        <w:tblLayout w:type="fixed"/>
        <w:tblCellMar>
          <w:top w:w="0" w:type="dxa"/>
          <w:left w:w="108" w:type="dxa"/>
          <w:bottom w:w="0" w:type="dxa"/>
          <w:right w:w="108" w:type="dxa"/>
        </w:tblCellMar>
      </w:tblPr>
      <w:tblGrid>
        <w:gridCol w:w="2161"/>
        <w:gridCol w:w="274"/>
        <w:gridCol w:w="6797"/>
      </w:tblGrid>
      <w:tr w14:paraId="4DB07349">
        <w:tblPrEx>
          <w:tblCellMar>
            <w:top w:w="0" w:type="dxa"/>
            <w:left w:w="108" w:type="dxa"/>
            <w:bottom w:w="0" w:type="dxa"/>
            <w:right w:w="108" w:type="dxa"/>
          </w:tblCellMar>
        </w:tblPrEx>
        <w:trPr>
          <w:cantSplit/>
          <w:trHeight w:val="567" w:hRule="exact"/>
        </w:trPr>
        <w:tc>
          <w:tcPr>
            <w:tcW w:w="2161" w:type="dxa"/>
            <w:vAlign w:val="top"/>
          </w:tcPr>
          <w:p w14:paraId="41BE12B1">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kern w:val="0"/>
                <w:sz w:val="32"/>
                <w:szCs w:val="32"/>
                <w14:textFill>
                  <w14:solidFill>
                    <w14:schemeClr w14:val="tx1"/>
                  </w14:solidFill>
                </w14:textFill>
              </w:rPr>
              <w:t>报告提交单位</w:t>
            </w:r>
          </w:p>
        </w:tc>
        <w:tc>
          <w:tcPr>
            <w:tcW w:w="274" w:type="dxa"/>
            <w:vAlign w:val="top"/>
          </w:tcPr>
          <w:p w14:paraId="6766DAB4">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6159BD15">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r>
      <w:tr w14:paraId="54108CD5">
        <w:tblPrEx>
          <w:tblCellMar>
            <w:top w:w="0" w:type="dxa"/>
            <w:left w:w="108" w:type="dxa"/>
            <w:bottom w:w="0" w:type="dxa"/>
            <w:right w:w="108" w:type="dxa"/>
          </w:tblCellMar>
        </w:tblPrEx>
        <w:trPr>
          <w:cantSplit/>
          <w:trHeight w:val="567" w:hRule="exact"/>
        </w:trPr>
        <w:tc>
          <w:tcPr>
            <w:tcW w:w="2161" w:type="dxa"/>
            <w:vAlign w:val="top"/>
          </w:tcPr>
          <w:p w14:paraId="39E18E21">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报告编制单位</w:t>
            </w:r>
          </w:p>
        </w:tc>
        <w:tc>
          <w:tcPr>
            <w:tcW w:w="274" w:type="dxa"/>
            <w:vAlign w:val="top"/>
          </w:tcPr>
          <w:p w14:paraId="0627CB4A">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5E253295">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r>
      <w:tr w14:paraId="7110D641">
        <w:tblPrEx>
          <w:tblCellMar>
            <w:top w:w="0" w:type="dxa"/>
            <w:left w:w="108" w:type="dxa"/>
            <w:bottom w:w="0" w:type="dxa"/>
            <w:right w:w="108" w:type="dxa"/>
          </w:tblCellMar>
        </w:tblPrEx>
        <w:trPr>
          <w:cantSplit/>
          <w:trHeight w:val="567" w:hRule="exact"/>
        </w:trPr>
        <w:tc>
          <w:tcPr>
            <w:tcW w:w="2161" w:type="dxa"/>
            <w:vAlign w:val="top"/>
          </w:tcPr>
          <w:p w14:paraId="54A0BC81">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fitText w:val="1920" w:id="104881936"/>
                <w14:textFill>
                  <w14:solidFill>
                    <w14:schemeClr w14:val="tx1"/>
                  </w14:solidFill>
                </w14:textFill>
              </w:rPr>
              <w:t>报告主</w:t>
            </w:r>
            <w:r>
              <w:rPr>
                <w:rFonts w:hint="default" w:ascii="Times New Roman" w:hAnsi="Times New Roman" w:eastAsia="方正仿宋_GBK" w:cs="Times New Roman"/>
                <w:snapToGrid w:val="0"/>
                <w:color w:val="000000" w:themeColor="text1"/>
                <w:spacing w:val="2"/>
                <w:kern w:val="0"/>
                <w:sz w:val="32"/>
                <w:szCs w:val="32"/>
                <w:fitText w:val="1920" w:id="104881936"/>
                <w14:textFill>
                  <w14:solidFill>
                    <w14:schemeClr w14:val="tx1"/>
                  </w14:solidFill>
                </w14:textFill>
              </w:rPr>
              <w:t>编</w:t>
            </w:r>
          </w:p>
        </w:tc>
        <w:tc>
          <w:tcPr>
            <w:tcW w:w="274" w:type="dxa"/>
            <w:vAlign w:val="top"/>
          </w:tcPr>
          <w:p w14:paraId="5AFB7372">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469D3386">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r>
      <w:tr w14:paraId="3C19792B">
        <w:tblPrEx>
          <w:tblCellMar>
            <w:top w:w="0" w:type="dxa"/>
            <w:left w:w="108" w:type="dxa"/>
            <w:bottom w:w="0" w:type="dxa"/>
            <w:right w:w="108" w:type="dxa"/>
          </w:tblCellMar>
        </w:tblPrEx>
        <w:trPr>
          <w:cantSplit/>
          <w:trHeight w:val="567" w:hRule="exact"/>
        </w:trPr>
        <w:tc>
          <w:tcPr>
            <w:tcW w:w="2161" w:type="dxa"/>
            <w:vAlign w:val="top"/>
          </w:tcPr>
          <w:p w14:paraId="5D7DCDC6">
            <w:pPr>
              <w:adjustRightInd w:val="0"/>
              <w:snapToGrid w:val="0"/>
              <w:spacing w:line="560" w:lineRule="exact"/>
              <w:jc w:val="center"/>
              <w:rPr>
                <w:rFonts w:hint="default" w:ascii="Times New Roman" w:hAnsi="Times New Roman" w:eastAsia="方正仿宋_GBK" w:cs="Times New Roman"/>
                <w:snapToGrid w:val="0"/>
                <w:color w:val="000000" w:themeColor="text1"/>
                <w:spacing w:val="1600"/>
                <w:kern w:val="0"/>
                <w:sz w:val="32"/>
                <w:szCs w:val="32"/>
                <w:fitText w:val="1920" w:id="1"/>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fitText w:val="1920" w:id="531062534"/>
                <w14:textFill>
                  <w14:solidFill>
                    <w14:schemeClr w14:val="tx1"/>
                  </w14:solidFill>
                </w14:textFill>
              </w:rPr>
              <w:t>报告审</w:t>
            </w:r>
            <w:r>
              <w:rPr>
                <w:rFonts w:hint="default" w:ascii="Times New Roman" w:hAnsi="Times New Roman" w:eastAsia="方正仿宋_GBK" w:cs="Times New Roman"/>
                <w:snapToGrid w:val="0"/>
                <w:color w:val="000000" w:themeColor="text1"/>
                <w:spacing w:val="2"/>
                <w:kern w:val="0"/>
                <w:sz w:val="32"/>
                <w:szCs w:val="32"/>
                <w:fitText w:val="1920" w:id="531062534"/>
                <w14:textFill>
                  <w14:solidFill>
                    <w14:schemeClr w14:val="tx1"/>
                  </w14:solidFill>
                </w14:textFill>
              </w:rPr>
              <w:t>核</w:t>
            </w:r>
          </w:p>
        </w:tc>
        <w:tc>
          <w:tcPr>
            <w:tcW w:w="274" w:type="dxa"/>
            <w:vAlign w:val="top"/>
          </w:tcPr>
          <w:p w14:paraId="287BEF0F">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008BFC52">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r>
      <w:tr w14:paraId="4FC9C289">
        <w:tblPrEx>
          <w:tblCellMar>
            <w:top w:w="0" w:type="dxa"/>
            <w:left w:w="108" w:type="dxa"/>
            <w:bottom w:w="0" w:type="dxa"/>
            <w:right w:w="108" w:type="dxa"/>
          </w:tblCellMar>
        </w:tblPrEx>
        <w:trPr>
          <w:cantSplit/>
          <w:trHeight w:val="567" w:hRule="exact"/>
        </w:trPr>
        <w:tc>
          <w:tcPr>
            <w:tcW w:w="2161" w:type="dxa"/>
            <w:vAlign w:val="top"/>
          </w:tcPr>
          <w:p w14:paraId="62E80BBE">
            <w:pPr>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pacing w:val="40"/>
                <w:kern w:val="0"/>
                <w:sz w:val="32"/>
                <w:szCs w:val="32"/>
                <w:fitText w:val="1920" w:id="1444354846"/>
                <w14:textFill>
                  <w14:solidFill>
                    <w14:schemeClr w14:val="tx1"/>
                  </w14:solidFill>
                </w14:textFill>
              </w:rPr>
              <w:t>评审专家</w:t>
            </w:r>
            <w:r>
              <w:rPr>
                <w:rFonts w:hint="default" w:ascii="Times New Roman" w:hAnsi="Times New Roman" w:eastAsia="方正仿宋_GBK" w:cs="Times New Roman"/>
                <w:color w:val="000000" w:themeColor="text1"/>
                <w:spacing w:val="0"/>
                <w:kern w:val="0"/>
                <w:sz w:val="32"/>
                <w:szCs w:val="32"/>
                <w:fitText w:val="1920" w:id="1444354846"/>
                <w14:textFill>
                  <w14:solidFill>
                    <w14:schemeClr w14:val="tx1"/>
                  </w14:solidFill>
                </w14:textFill>
              </w:rPr>
              <w:t>组</w:t>
            </w:r>
          </w:p>
        </w:tc>
        <w:tc>
          <w:tcPr>
            <w:tcW w:w="274" w:type="dxa"/>
            <w:vAlign w:val="top"/>
          </w:tcPr>
          <w:p w14:paraId="2F999C1A">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6B80BEAF">
            <w:pPr>
              <w:adjustRightInd w:val="0"/>
              <w:snapToGrid w:val="0"/>
              <w:spacing w:line="560" w:lineRule="exact"/>
              <w:rPr>
                <w:rFonts w:hint="default" w:ascii="Times New Roman" w:hAnsi="Times New Roman" w:eastAsia="方正仿宋_GBK" w:cs="Times New Roman"/>
                <w:snapToGrid w:val="0"/>
                <w:color w:val="000000" w:themeColor="text1"/>
                <w:sz w:val="32"/>
                <w:szCs w:val="32"/>
                <w:lang w:eastAsia="zh-CN"/>
                <w14:textFill>
                  <w14:solidFill>
                    <w14:schemeClr w14:val="tx1"/>
                  </w14:solidFill>
                </w14:textFill>
              </w:rPr>
            </w:pPr>
            <w:r>
              <w:rPr>
                <w:rFonts w:hint="default"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14:textFill>
                  <w14:solidFill>
                    <w14:schemeClr w14:val="tx1"/>
                  </w14:solidFill>
                </w14:textFill>
              </w:rPr>
              <w:t>（组长）、</w:t>
            </w:r>
            <w:r>
              <w:rPr>
                <w:rFonts w:hint="default" w:eastAsia="方正仿宋_GBK" w:cs="Times New Roman"/>
                <w:snapToGrid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r>
              <w:rPr>
                <w:rFonts w:hint="default" w:eastAsia="方正仿宋_GBK" w:cs="Times New Roman"/>
                <w:snapToGrid w:val="0"/>
                <w:color w:val="000000" w:themeColor="text1"/>
                <w:sz w:val="32"/>
                <w:szCs w:val="32"/>
                <w:lang w:eastAsia="zh-CN"/>
                <w14:textFill>
                  <w14:solidFill>
                    <w14:schemeClr w14:val="tx1"/>
                  </w14:solidFill>
                </w14:textFill>
              </w:rPr>
              <w:t>×××</w:t>
            </w:r>
          </w:p>
        </w:tc>
      </w:tr>
      <w:tr w14:paraId="1F091EFF">
        <w:tblPrEx>
          <w:tblCellMar>
            <w:top w:w="0" w:type="dxa"/>
            <w:left w:w="108" w:type="dxa"/>
            <w:bottom w:w="0" w:type="dxa"/>
            <w:right w:w="108" w:type="dxa"/>
          </w:tblCellMar>
        </w:tblPrEx>
        <w:trPr>
          <w:cantSplit/>
          <w:trHeight w:val="567" w:hRule="exact"/>
        </w:trPr>
        <w:tc>
          <w:tcPr>
            <w:tcW w:w="2161" w:type="dxa"/>
            <w:vAlign w:val="top"/>
          </w:tcPr>
          <w:p w14:paraId="133C8FF2">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pacing w:val="40"/>
                <w:kern w:val="0"/>
                <w:sz w:val="32"/>
                <w:szCs w:val="32"/>
                <w:fitText w:val="1920" w:id="588393659"/>
                <w14:textFill>
                  <w14:solidFill>
                    <w14:schemeClr w14:val="tx1"/>
                  </w14:solidFill>
                </w14:textFill>
              </w:rPr>
              <w:t>评审基准</w:t>
            </w:r>
            <w:r>
              <w:rPr>
                <w:rFonts w:hint="default" w:ascii="Times New Roman" w:hAnsi="Times New Roman" w:eastAsia="方正仿宋_GBK" w:cs="Times New Roman"/>
                <w:snapToGrid w:val="0"/>
                <w:color w:val="000000" w:themeColor="text1"/>
                <w:spacing w:val="0"/>
                <w:kern w:val="0"/>
                <w:sz w:val="32"/>
                <w:szCs w:val="32"/>
                <w:fitText w:val="1920" w:id="588393659"/>
                <w14:textFill>
                  <w14:solidFill>
                    <w14:schemeClr w14:val="tx1"/>
                  </w14:solidFill>
                </w14:textFill>
              </w:rPr>
              <w:t>日</w:t>
            </w:r>
          </w:p>
        </w:tc>
        <w:tc>
          <w:tcPr>
            <w:tcW w:w="274" w:type="dxa"/>
            <w:vAlign w:val="top"/>
          </w:tcPr>
          <w:p w14:paraId="5288FF2A">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14C214FA">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r>
      <w:tr w14:paraId="0115E232">
        <w:tblPrEx>
          <w:tblCellMar>
            <w:top w:w="0" w:type="dxa"/>
            <w:left w:w="108" w:type="dxa"/>
            <w:bottom w:w="0" w:type="dxa"/>
            <w:right w:w="108" w:type="dxa"/>
          </w:tblCellMar>
        </w:tblPrEx>
        <w:trPr>
          <w:cantSplit/>
          <w:trHeight w:val="567" w:hRule="exact"/>
        </w:trPr>
        <w:tc>
          <w:tcPr>
            <w:tcW w:w="2161" w:type="dxa"/>
            <w:vAlign w:val="top"/>
          </w:tcPr>
          <w:p w14:paraId="65399791">
            <w:pPr>
              <w:adjustRightInd w:val="0"/>
              <w:snapToGrid w:val="0"/>
              <w:spacing w:line="560" w:lineRule="exact"/>
              <w:jc w:val="center"/>
              <w:rPr>
                <w:rFonts w:hint="default" w:ascii="Times New Roman" w:hAnsi="Times New Roman" w:eastAsia="方正仿宋_GBK" w:cs="Times New Roman"/>
                <w:snapToGrid w:val="0"/>
                <w:color w:val="000000" w:themeColor="text1"/>
                <w:kern w:val="0"/>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pacing w:val="0"/>
                <w:kern w:val="0"/>
                <w:sz w:val="32"/>
                <w:szCs w:val="32"/>
                <w:fitText w:val="1920" w:id="1768971897"/>
                <w14:textFill>
                  <w14:solidFill>
                    <w14:schemeClr w14:val="tx1"/>
                  </w14:solidFill>
                </w14:textFill>
              </w:rPr>
              <w:t>评审会议时间</w:t>
            </w:r>
            <w:r>
              <w:rPr>
                <w:rFonts w:hint="default" w:ascii="Times New Roman" w:hAnsi="Times New Roman" w:eastAsia="方正仿宋_GBK" w:cs="Times New Roman"/>
                <w:snapToGrid w:val="0"/>
                <w:color w:val="000000" w:themeColor="text1"/>
                <w:kern w:val="0"/>
                <w:sz w:val="32"/>
                <w:szCs w:val="32"/>
                <w14:textFill>
                  <w14:solidFill>
                    <w14:schemeClr w14:val="tx1"/>
                  </w14:solidFill>
                </w14:textFill>
              </w:rPr>
              <w:t>(</w:t>
            </w:r>
          </w:p>
          <w:p w14:paraId="1222F339">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p>
        </w:tc>
        <w:tc>
          <w:tcPr>
            <w:tcW w:w="274" w:type="dxa"/>
            <w:vAlign w:val="top"/>
          </w:tcPr>
          <w:p w14:paraId="67EFF020">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69334ED5">
            <w:pPr>
              <w:adjustRightInd w:val="0"/>
              <w:snapToGrid w:val="0"/>
              <w:spacing w:line="560" w:lineRule="exact"/>
              <w:rPr>
                <w:rFonts w:hint="default" w:ascii="Times New Roman" w:hAnsi="Times New Roman" w:eastAsia="方正仿宋_GBK" w:cs="Times New Roman"/>
                <w:i/>
                <w:snapToGrid w:val="0"/>
                <w:color w:val="000000" w:themeColor="text1"/>
                <w:sz w:val="32"/>
                <w:szCs w:val="32"/>
                <w14:textFill>
                  <w14:solidFill>
                    <w14:schemeClr w14:val="tx1"/>
                  </w14:solidFill>
                </w14:textFill>
              </w:rPr>
            </w:pPr>
          </w:p>
        </w:tc>
      </w:tr>
      <w:tr w14:paraId="2BF0FBC4">
        <w:tblPrEx>
          <w:tblCellMar>
            <w:top w:w="0" w:type="dxa"/>
            <w:left w:w="108" w:type="dxa"/>
            <w:bottom w:w="0" w:type="dxa"/>
            <w:right w:w="108" w:type="dxa"/>
          </w:tblCellMar>
        </w:tblPrEx>
        <w:trPr>
          <w:cantSplit/>
          <w:trHeight w:val="567" w:hRule="exact"/>
        </w:trPr>
        <w:tc>
          <w:tcPr>
            <w:tcW w:w="2161" w:type="dxa"/>
            <w:vAlign w:val="top"/>
          </w:tcPr>
          <w:p w14:paraId="11985506">
            <w:pPr>
              <w:adjustRightInd w:val="0"/>
              <w:snapToGrid w:val="0"/>
              <w:spacing w:line="560" w:lineRule="exact"/>
              <w:jc w:val="center"/>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fitText w:val="1920" w:id="1265174450"/>
                <w14:textFill>
                  <w14:solidFill>
                    <w14:schemeClr w14:val="tx1"/>
                  </w14:solidFill>
                </w14:textFill>
              </w:rPr>
              <w:t>评审地</w:t>
            </w:r>
            <w:r>
              <w:rPr>
                <w:rFonts w:hint="default" w:ascii="Times New Roman" w:hAnsi="Times New Roman" w:eastAsia="方正仿宋_GBK" w:cs="Times New Roman"/>
                <w:snapToGrid w:val="0"/>
                <w:color w:val="000000" w:themeColor="text1"/>
                <w:spacing w:val="2"/>
                <w:kern w:val="0"/>
                <w:sz w:val="32"/>
                <w:szCs w:val="32"/>
                <w:fitText w:val="1920" w:id="1265174450"/>
                <w14:textFill>
                  <w14:solidFill>
                    <w14:schemeClr w14:val="tx1"/>
                  </w14:solidFill>
                </w14:textFill>
              </w:rPr>
              <w:t>点</w:t>
            </w:r>
          </w:p>
        </w:tc>
        <w:tc>
          <w:tcPr>
            <w:tcW w:w="274" w:type="dxa"/>
            <w:vAlign w:val="top"/>
          </w:tcPr>
          <w:p w14:paraId="642BD91B">
            <w:pPr>
              <w:adjustRightInd w:val="0"/>
              <w:snapToGrid w:val="0"/>
              <w:spacing w:line="560" w:lineRule="exact"/>
              <w:rPr>
                <w:rFonts w:hint="default" w:ascii="Times New Roman" w:hAnsi="Times New Roman" w:eastAsia="方正仿宋_GBK" w:cs="Times New Roman"/>
                <w:snapToGrid w:val="0"/>
                <w:color w:val="000000" w:themeColor="text1"/>
                <w:sz w:val="32"/>
                <w:szCs w:val="32"/>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14:textFill>
                  <w14:solidFill>
                    <w14:schemeClr w14:val="tx1"/>
                  </w14:solidFill>
                </w14:textFill>
              </w:rPr>
              <w:t>：</w:t>
            </w:r>
          </w:p>
        </w:tc>
        <w:tc>
          <w:tcPr>
            <w:tcW w:w="6797" w:type="dxa"/>
            <w:vAlign w:val="center"/>
          </w:tcPr>
          <w:p w14:paraId="32A65952">
            <w:pPr>
              <w:adjustRightInd w:val="0"/>
              <w:snapToGrid w:val="0"/>
              <w:spacing w:line="560" w:lineRule="exact"/>
              <w:rPr>
                <w:rFonts w:hint="default" w:ascii="Times New Roman" w:hAnsi="Times New Roman" w:eastAsia="方正仿宋_GBK" w:cs="Times New Roman"/>
                <w:i/>
                <w:snapToGrid w:val="0"/>
                <w:color w:val="000000" w:themeColor="text1"/>
                <w:sz w:val="32"/>
                <w:szCs w:val="32"/>
                <w14:textFill>
                  <w14:solidFill>
                    <w14:schemeClr w14:val="tx1"/>
                  </w14:solidFill>
                </w14:textFill>
              </w:rPr>
            </w:pPr>
          </w:p>
        </w:tc>
      </w:tr>
      <w:tr w14:paraId="5C194765">
        <w:tblPrEx>
          <w:tblCellMar>
            <w:top w:w="0" w:type="dxa"/>
            <w:left w:w="108" w:type="dxa"/>
            <w:bottom w:w="0" w:type="dxa"/>
            <w:right w:w="108" w:type="dxa"/>
          </w:tblCellMar>
        </w:tblPrEx>
        <w:trPr>
          <w:cantSplit/>
          <w:trHeight w:val="1583" w:hRule="exact"/>
        </w:trPr>
        <w:tc>
          <w:tcPr>
            <w:tcW w:w="9232" w:type="dxa"/>
            <w:gridSpan w:val="3"/>
            <w:vAlign w:val="top"/>
          </w:tcPr>
          <w:p w14:paraId="69E159AA">
            <w:pPr>
              <w:adjustRightInd w:val="0"/>
              <w:snapToGrid w:val="0"/>
              <w:spacing w:line="560" w:lineRule="exact"/>
              <w:ind w:firstLine="640" w:firstLineChars="200"/>
              <w:rPr>
                <w:rFonts w:ascii="Times New Roman" w:hAnsi="Times New Roman" w:eastAsia="仿宋_GB2312" w:cs="Times New Roman"/>
                <w:snapToGrid w:val="0"/>
                <w:color w:val="000000" w:themeColor="text1"/>
                <w:sz w:val="32"/>
                <w:szCs w:val="32"/>
                <w14:textFill>
                  <w14:solidFill>
                    <w14:schemeClr w14:val="tx1"/>
                  </w14:solidFill>
                </w14:textFill>
              </w:rPr>
            </w:pPr>
          </w:p>
          <w:p w14:paraId="0BAB9646">
            <w:pPr>
              <w:adjustRightInd w:val="0"/>
              <w:snapToGrid w:val="0"/>
              <w:spacing w:line="560" w:lineRule="exact"/>
              <w:ind w:firstLine="640" w:firstLineChars="200"/>
              <w:rPr>
                <w:rFonts w:ascii="Times New Roman" w:hAnsi="Times New Roman" w:eastAsia="仿宋_GB2312" w:cs="Times New Roman"/>
                <w:snapToGrid w:val="0"/>
                <w:color w:val="000000" w:themeColor="text1"/>
                <w:sz w:val="32"/>
                <w:szCs w:val="32"/>
                <w14:textFill>
                  <w14:solidFill>
                    <w14:schemeClr w14:val="tx1"/>
                  </w14:solidFill>
                </w14:textFill>
              </w:rPr>
            </w:pPr>
          </w:p>
        </w:tc>
      </w:tr>
    </w:tbl>
    <w:p w14:paraId="37A95653">
      <w:pPr>
        <w:spacing w:line="600" w:lineRule="exact"/>
        <w:ind w:right="-71" w:rightChars="-34"/>
        <w:rPr>
          <w:rFonts w:ascii="Times New Roman" w:hAnsi="Times New Roman" w:eastAsia="仿宋_GB2312" w:cs="Times New Roman"/>
          <w:bCs/>
          <w:color w:val="000000" w:themeColor="text1"/>
          <w:sz w:val="30"/>
          <w:szCs w:val="30"/>
          <w14:textFill>
            <w14:solidFill>
              <w14:schemeClr w14:val="tx1"/>
            </w14:solidFill>
          </w14:textFill>
        </w:rPr>
      </w:pPr>
    </w:p>
    <w:p w14:paraId="3CD4AEB1">
      <w:pPr>
        <w:rPr>
          <w:rFonts w:ascii="Times New Roman" w:hAnsi="Times New Roman" w:eastAsia="仿宋_GB2312" w:cs="Times New Roman"/>
          <w:color w:val="000000" w:themeColor="text1"/>
          <w:sz w:val="30"/>
          <w:szCs w:val="30"/>
          <w14:textFill>
            <w14:solidFill>
              <w14:schemeClr w14:val="tx1"/>
            </w14:solidFill>
          </w14:textFill>
        </w:rPr>
      </w:pPr>
    </w:p>
    <w:p w14:paraId="27208C93">
      <w:pPr>
        <w:rPr>
          <w:rFonts w:ascii="Times New Roman" w:hAnsi="Times New Roman" w:eastAsia="仿宋_GB2312" w:cs="Times New Roman"/>
          <w:color w:val="000000" w:themeColor="text1"/>
          <w:sz w:val="30"/>
          <w:szCs w:val="30"/>
          <w14:textFill>
            <w14:solidFill>
              <w14:schemeClr w14:val="tx1"/>
            </w14:solidFill>
          </w14:textFill>
        </w:rPr>
      </w:pPr>
    </w:p>
    <w:p w14:paraId="7A105AC6">
      <w:pPr>
        <w:rPr>
          <w:rFonts w:ascii="Times New Roman" w:hAnsi="Times New Roman" w:eastAsia="仿宋_GB2312" w:cs="Times New Roman"/>
          <w:color w:val="000000" w:themeColor="text1"/>
          <w:sz w:val="30"/>
          <w:szCs w:val="30"/>
          <w14:textFill>
            <w14:solidFill>
              <w14:schemeClr w14:val="tx1"/>
            </w14:solidFill>
          </w14:textFill>
        </w:rPr>
      </w:pPr>
    </w:p>
    <w:p w14:paraId="58F56EE8">
      <w:pPr>
        <w:spacing w:line="600" w:lineRule="exact"/>
        <w:ind w:firstLine="60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0"/>
          <w:szCs w:val="30"/>
          <w14:textFill>
            <w14:solidFill>
              <w14:schemeClr w14:val="tx1"/>
            </w14:solidFill>
          </w14:textFill>
        </w:rPr>
        <w:br w:type="page"/>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因探矿权转采矿权/采矿权变更矿种</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采矿权变更</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范围</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引起资源量变化</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/采矿期间累计查明资源量发生重大变化，</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（报告提交单位）委托</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编制完成了《</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报告》（以下简称报告），并于20</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年</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月</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日向</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（主管部门名称）提出了矿产资源储量评审备案申请。经审核，申请人报送的申请材料符合有关要求，于20</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年</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月</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日予以受理。</w:t>
      </w:r>
    </w:p>
    <w:p w14:paraId="4C48DFAD">
      <w:pPr>
        <w:overflowPunct w:val="0"/>
        <w:adjustRightInd w:val="0"/>
        <w:snapToGrid w:val="0"/>
        <w:spacing w:line="600"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（评审机构名称）</w:t>
      </w:r>
      <w:r>
        <w:rPr>
          <w:rFonts w:hint="eastAsia" w:ascii="Times New Roman" w:hAnsi="Times New Roman" w:eastAsia="方正仿宋_GBK" w:cs="方正仿宋_GBK"/>
          <w:snapToGrid w:val="0"/>
          <w:color w:val="000000" w:themeColor="text1"/>
          <w:kern w:val="0"/>
          <w:sz w:val="32"/>
          <w:szCs w:val="32"/>
          <w14:textFill>
            <w14:solidFill>
              <w14:schemeClr w14:val="tx1"/>
            </w14:solidFill>
          </w14:textFill>
        </w:rPr>
        <w:t>随机抽取</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kern w:val="0"/>
          <w:sz w:val="32"/>
          <w:szCs w:val="32"/>
          <w14:textFill>
            <w14:solidFill>
              <w14:schemeClr w14:val="tx1"/>
            </w14:solidFill>
          </w14:textFill>
        </w:rPr>
        <w:t>名评审专家组成报告评审专家组，于</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20</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年</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月</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日召开评审会议，对报告提交的矿产资源储量进行了评审。经评审、复核，形成评审意见如下：</w:t>
      </w:r>
    </w:p>
    <w:p w14:paraId="179EEE52">
      <w:pPr>
        <w:overflowPunct w:val="0"/>
        <w:adjustRightInd w:val="0"/>
        <w:snapToGrid w:val="0"/>
        <w:spacing w:line="600" w:lineRule="exact"/>
        <w:ind w:firstLine="640" w:firstLineChars="200"/>
        <w:rPr>
          <w:rFonts w:ascii="Times New Roman" w:hAnsi="Times New Roman" w:eastAsia="黑体" w:cs="Times New Roman"/>
          <w:snapToGrid w:val="0"/>
          <w:color w:val="000000" w:themeColor="text1"/>
          <w:sz w:val="32"/>
          <w:szCs w:val="32"/>
          <w14:textFill>
            <w14:solidFill>
              <w14:schemeClr w14:val="tx1"/>
            </w14:solidFill>
          </w14:textFill>
        </w:rPr>
      </w:pPr>
      <w:r>
        <w:rPr>
          <w:rFonts w:ascii="Times New Roman" w:hAnsi="Times New Roman" w:eastAsia="黑体" w:cs="Times New Roman"/>
          <w:snapToGrid w:val="0"/>
          <w:color w:val="000000" w:themeColor="text1"/>
          <w:sz w:val="32"/>
          <w:szCs w:val="32"/>
          <w14:textFill>
            <w14:solidFill>
              <w14:schemeClr w14:val="tx1"/>
            </w14:solidFill>
          </w14:textFill>
        </w:rPr>
        <w:t>一、矿区概况</w:t>
      </w:r>
    </w:p>
    <w:p w14:paraId="276B9EF8">
      <w:pPr>
        <w:spacing w:line="600"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矿位于</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县（市）</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方向约</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km处，经纬度坐标（2000国家大地坐标系）为东经</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″，北纬</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058A6D52">
      <w:pPr>
        <w:spacing w:line="600" w:lineRule="exact"/>
        <w:ind w:firstLine="640" w:firstLineChars="200"/>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pP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矿勘查/采矿许可证由</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颁发，矿业权人为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，证号为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，有效期限自</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年</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月</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日至</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年</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月</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日。勘查/采矿许可平面范围由</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个拐点圈定</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拐点坐标见表1</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，面积为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km</w:t>
      </w:r>
      <w:r>
        <w:rPr>
          <w:rFonts w:hint="eastAsia" w:ascii="Times New Roman" w:hAnsi="Times New Roman" w:eastAsia="方正仿宋_GBK" w:cs="方正仿宋_GBK"/>
          <w:snapToGrid w:val="0"/>
          <w:color w:val="000000" w:themeColor="text1"/>
          <w:sz w:val="32"/>
          <w:szCs w:val="32"/>
          <w:vertAlign w:val="superscript"/>
          <w14:textFill>
            <w14:solidFill>
              <w14:schemeClr w14:val="tx1"/>
            </w14:solidFill>
          </w14:textFill>
        </w:rPr>
        <w:t>2</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。生产规模</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万吨/年，开采方式为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，开采深度</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m标高。</w:t>
      </w:r>
    </w:p>
    <w:p w14:paraId="2122D3DA">
      <w:pPr>
        <w:spacing w:line="560" w:lineRule="exact"/>
        <w:ind w:firstLine="0" w:firstLineChars="0"/>
        <w:jc w:val="center"/>
        <w:rPr>
          <w:rFonts w:hint="eastAsia" w:ascii="Times New Roman" w:hAnsi="Times New Roman" w:eastAsia="方正黑体_GBK" w:cs="方正黑体_GBK"/>
          <w:snapToGrid w:val="0"/>
          <w:color w:val="000000" w:themeColor="text1"/>
          <w:kern w:val="24"/>
          <w:sz w:val="24"/>
          <w:szCs w:val="24"/>
          <w:lang w:val="en-US" w:eastAsia="zh-CN"/>
          <w14:textFill>
            <w14:solidFill>
              <w14:schemeClr w14:val="tx1"/>
            </w14:solidFill>
          </w14:textFill>
        </w:rPr>
      </w:pPr>
    </w:p>
    <w:p w14:paraId="41396BD8">
      <w:pPr>
        <w:pStyle w:val="2"/>
        <w:rPr>
          <w:rFonts w:hint="eastAsia"/>
          <w:lang w:val="en-US" w:eastAsia="zh-CN"/>
        </w:rPr>
      </w:pPr>
    </w:p>
    <w:p w14:paraId="079776DE">
      <w:pPr>
        <w:spacing w:line="560" w:lineRule="exact"/>
        <w:ind w:firstLine="0" w:firstLineChars="0"/>
        <w:jc w:val="center"/>
        <w:rPr>
          <w:rFonts w:hint="eastAsia" w:ascii="Times New Roman" w:hAnsi="Times New Roman" w:eastAsia="方正黑体_GBK" w:cs="方正黑体_GBK"/>
          <w:snapToGrid w:val="0"/>
          <w:color w:val="000000" w:themeColor="text1"/>
          <w:kern w:val="24"/>
          <w:sz w:val="24"/>
          <w:szCs w:val="24"/>
          <w:lang w:val="en-US" w:eastAsia="zh-CN"/>
          <w14:textFill>
            <w14:solidFill>
              <w14:schemeClr w14:val="tx1"/>
            </w14:solidFill>
          </w14:textFill>
        </w:rPr>
      </w:pPr>
      <w:r>
        <w:rPr>
          <w:rFonts w:hint="eastAsia" w:ascii="Times New Roman" w:hAnsi="Times New Roman" w:eastAsia="方正黑体_GBK" w:cs="方正黑体_GBK"/>
          <w:snapToGrid w:val="0"/>
          <w:color w:val="000000" w:themeColor="text1"/>
          <w:kern w:val="24"/>
          <w:sz w:val="24"/>
          <w:szCs w:val="24"/>
          <w:lang w:val="en-US" w:eastAsia="zh-CN"/>
          <w14:textFill>
            <w14:solidFill>
              <w14:schemeClr w14:val="tx1"/>
            </w14:solidFill>
          </w14:textFill>
        </w:rPr>
        <w:t>表1 矿区拐点坐标表（2000国家大地坐标系）</w:t>
      </w:r>
    </w:p>
    <w:tbl>
      <w:tblPr>
        <w:tblStyle w:val="12"/>
        <w:tblW w:w="7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470"/>
        <w:gridCol w:w="1470"/>
        <w:gridCol w:w="723"/>
        <w:gridCol w:w="1660"/>
        <w:gridCol w:w="1542"/>
      </w:tblGrid>
      <w:tr w14:paraId="0D57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top"/>
          </w:tcPr>
          <w:p w14:paraId="362A06B3">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编号</w:t>
            </w:r>
          </w:p>
        </w:tc>
        <w:tc>
          <w:tcPr>
            <w:tcW w:w="1470" w:type="dxa"/>
            <w:vAlign w:val="top"/>
          </w:tcPr>
          <w:p w14:paraId="18C21D64">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eastAsia="仿宋_GB2312" w:cs="Times New Roman"/>
                <w:snapToGrid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坐标</w:t>
            </w:r>
          </w:p>
        </w:tc>
        <w:tc>
          <w:tcPr>
            <w:tcW w:w="1470" w:type="dxa"/>
            <w:vAlign w:val="top"/>
          </w:tcPr>
          <w:p w14:paraId="7FD95784">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Y坐标</w:t>
            </w:r>
          </w:p>
        </w:tc>
        <w:tc>
          <w:tcPr>
            <w:tcW w:w="723" w:type="dxa"/>
            <w:vAlign w:val="top"/>
          </w:tcPr>
          <w:p w14:paraId="0656D1D6">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编号</w:t>
            </w:r>
          </w:p>
        </w:tc>
        <w:tc>
          <w:tcPr>
            <w:tcW w:w="1660" w:type="dxa"/>
            <w:vAlign w:val="top"/>
          </w:tcPr>
          <w:p w14:paraId="63ADB2D0">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eastAsia="仿宋_GB2312" w:cs="Times New Roman"/>
                <w:snapToGrid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坐标</w:t>
            </w:r>
          </w:p>
        </w:tc>
        <w:tc>
          <w:tcPr>
            <w:tcW w:w="1542" w:type="dxa"/>
            <w:vAlign w:val="top"/>
          </w:tcPr>
          <w:p w14:paraId="501783D9">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Y坐标</w:t>
            </w:r>
          </w:p>
        </w:tc>
      </w:tr>
      <w:tr w14:paraId="24AB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top"/>
          </w:tcPr>
          <w:p w14:paraId="4916A318">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1</w:t>
            </w:r>
          </w:p>
        </w:tc>
        <w:tc>
          <w:tcPr>
            <w:tcW w:w="1470" w:type="dxa"/>
            <w:vAlign w:val="top"/>
          </w:tcPr>
          <w:p w14:paraId="74C2AF6C">
            <w:pPr>
              <w:spacing w:line="560" w:lineRule="exact"/>
              <w:jc w:val="center"/>
              <w:rPr>
                <w:rFonts w:hint="default"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p>
        </w:tc>
        <w:tc>
          <w:tcPr>
            <w:tcW w:w="1470" w:type="dxa"/>
            <w:vAlign w:val="top"/>
          </w:tcPr>
          <w:p w14:paraId="77859427">
            <w:pPr>
              <w:spacing w:line="560" w:lineRule="exact"/>
              <w:jc w:val="center"/>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c>
          <w:tcPr>
            <w:tcW w:w="723" w:type="dxa"/>
            <w:vAlign w:val="top"/>
          </w:tcPr>
          <w:p w14:paraId="65E75E0C">
            <w:pPr>
              <w:spacing w:line="560" w:lineRule="exact"/>
              <w:jc w:val="cente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3</w:t>
            </w:r>
          </w:p>
        </w:tc>
        <w:tc>
          <w:tcPr>
            <w:tcW w:w="1660" w:type="dxa"/>
            <w:vAlign w:val="top"/>
          </w:tcPr>
          <w:p w14:paraId="57BFC885">
            <w:pPr>
              <w:spacing w:line="560" w:lineRule="exact"/>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c>
          <w:tcPr>
            <w:tcW w:w="1542" w:type="dxa"/>
            <w:vAlign w:val="top"/>
          </w:tcPr>
          <w:p w14:paraId="74414AC4">
            <w:pPr>
              <w:spacing w:line="560" w:lineRule="exact"/>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r>
      <w:tr w14:paraId="2276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top"/>
          </w:tcPr>
          <w:p w14:paraId="2B7D185C">
            <w:pPr>
              <w:spacing w:line="560" w:lineRule="exact"/>
              <w:jc w:val="cente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2</w:t>
            </w:r>
          </w:p>
        </w:tc>
        <w:tc>
          <w:tcPr>
            <w:tcW w:w="1470" w:type="dxa"/>
            <w:vAlign w:val="top"/>
          </w:tcPr>
          <w:p w14:paraId="5ADA1928">
            <w:pPr>
              <w:spacing w:line="560" w:lineRule="exact"/>
              <w:jc w:val="center"/>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c>
          <w:tcPr>
            <w:tcW w:w="1470" w:type="dxa"/>
            <w:vAlign w:val="top"/>
          </w:tcPr>
          <w:p w14:paraId="7FB0C98B">
            <w:pPr>
              <w:spacing w:line="560" w:lineRule="exact"/>
              <w:jc w:val="center"/>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c>
          <w:tcPr>
            <w:tcW w:w="723" w:type="dxa"/>
            <w:vAlign w:val="top"/>
          </w:tcPr>
          <w:p w14:paraId="0BAFEF6D">
            <w:pPr>
              <w:spacing w:line="560" w:lineRule="exact"/>
              <w:jc w:val="cente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仿宋_GB2312" w:cs="Times New Roman"/>
                <w:snapToGrid w:val="0"/>
                <w:color w:val="000000" w:themeColor="text1"/>
                <w:sz w:val="21"/>
                <w:szCs w:val="21"/>
                <w:vertAlign w:val="baseline"/>
                <w:lang w:val="en-US" w:eastAsia="zh-CN"/>
                <w14:textFill>
                  <w14:solidFill>
                    <w14:schemeClr w14:val="tx1"/>
                  </w14:solidFill>
                </w14:textFill>
              </w:rPr>
              <w:t>4</w:t>
            </w:r>
          </w:p>
        </w:tc>
        <w:tc>
          <w:tcPr>
            <w:tcW w:w="1660" w:type="dxa"/>
            <w:vAlign w:val="top"/>
          </w:tcPr>
          <w:p w14:paraId="01F24D46">
            <w:pPr>
              <w:spacing w:line="560" w:lineRule="exact"/>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c>
          <w:tcPr>
            <w:tcW w:w="1542" w:type="dxa"/>
            <w:vAlign w:val="top"/>
          </w:tcPr>
          <w:p w14:paraId="0E68E10A">
            <w:pPr>
              <w:spacing w:line="560" w:lineRule="exact"/>
              <w:rPr>
                <w:rFonts w:hint="default" w:ascii="Times New Roman" w:hAnsi="Times New Roman" w:eastAsia="仿宋_GB2312" w:cs="Times New Roman"/>
                <w:snapToGrid w:val="0"/>
                <w:color w:val="000000" w:themeColor="text1"/>
                <w:sz w:val="21"/>
                <w:szCs w:val="21"/>
                <w:vertAlign w:val="baseline"/>
                <w14:textFill>
                  <w14:solidFill>
                    <w14:schemeClr w14:val="tx1"/>
                  </w14:solidFill>
                </w14:textFill>
              </w:rPr>
            </w:pPr>
          </w:p>
        </w:tc>
      </w:tr>
    </w:tbl>
    <w:p w14:paraId="4B25677F">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资源储量估算范围平面上和垂向上均在采矿许可范围内，估算面积：</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km</w:t>
      </w:r>
      <w:r>
        <w:rPr>
          <w:rFonts w:hint="eastAsia" w:ascii="Times New Roman" w:hAnsi="Times New Roman" w:eastAsia="方正仿宋_GBK" w:cs="方正仿宋_GBK"/>
          <w:snapToGrid w:val="0"/>
          <w:color w:val="000000" w:themeColor="text1"/>
          <w:sz w:val="32"/>
          <w:szCs w:val="32"/>
          <w:vertAlign w:val="superscript"/>
          <w14:textFill>
            <w14:solidFill>
              <w14:schemeClr w14:val="tx1"/>
            </w14:solidFill>
          </w14:textFill>
        </w:rPr>
        <w:t>2</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，估算标高</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m。资源储量估算范围与矿业权范围的关系见附件2。</w:t>
      </w:r>
    </w:p>
    <w:p w14:paraId="7FEA326F">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该矿床属于接触交代/</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型矿床，含矿层位为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/容矿构造为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，顶底板/围岩为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。矿区整体构造形态为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，构造复杂程度属</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类。</w:t>
      </w:r>
    </w:p>
    <w:p w14:paraId="49A2E341">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区内由工程圈定</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个矿体，1号矿体走向长</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m、倾斜深</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m，矿体厚度</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m，品位</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m。2号矿体走向长</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m、倾斜深</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m，矿体厚度</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m，品位</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m。</w:t>
      </w:r>
    </w:p>
    <w:p w14:paraId="212808FE">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矿石类型主要为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，次要为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74B491DE">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主要共伴生矿产为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6539B663">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经可选性试验/实验室流程试验……矿石可选性为易选/较易选/难选。</w:t>
      </w:r>
    </w:p>
    <w:p w14:paraId="64112039">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矿区水文地质勘查类型为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类</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型。采用</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法预测正常涌水量</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，最大涌水量</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1E2D805F">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工程地质勘查类型为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类</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型。</w:t>
      </w:r>
    </w:p>
    <w:p w14:paraId="210B165C">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地质环境质量为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5352ED28">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区内存在/不存在放射性异常。（存在放射性异常时，异常值为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1A9C34F5">
      <w:pPr>
        <w:overflowPunct w:val="0"/>
        <w:adjustRightInd w:val="0"/>
        <w:snapToGrid w:val="0"/>
        <w:spacing w:line="594" w:lineRule="exact"/>
        <w:ind w:firstLine="640" w:firstLineChars="200"/>
        <w:rPr>
          <w:rFonts w:hint="eastAsia" w:ascii="Times New Roman" w:hAnsi="Times New Roman" w:eastAsia="方正黑体_GBK" w:cs="方正黑体_GBK"/>
          <w:snapToGrid w:val="0"/>
          <w:color w:val="000000" w:themeColor="text1"/>
          <w:sz w:val="32"/>
          <w:szCs w:val="32"/>
          <w14:textFill>
            <w14:solidFill>
              <w14:schemeClr w14:val="tx1"/>
            </w14:solidFill>
          </w14:textFill>
        </w:rPr>
      </w:pPr>
      <w:r>
        <w:rPr>
          <w:rFonts w:hint="eastAsia" w:ascii="Times New Roman" w:hAnsi="Times New Roman" w:eastAsia="方正黑体_GBK" w:cs="方正黑体_GBK"/>
          <w:snapToGrid w:val="0"/>
          <w:color w:val="000000" w:themeColor="text1"/>
          <w:sz w:val="32"/>
          <w:szCs w:val="32"/>
          <w14:textFill>
            <w14:solidFill>
              <w14:schemeClr w14:val="tx1"/>
            </w14:solidFill>
          </w14:textFill>
        </w:rPr>
        <w:t>二、申报情况</w:t>
      </w:r>
    </w:p>
    <w:p w14:paraId="7E3E7996">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本次报告资源储量估算采用的工业指标为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50B0F327">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估算方法采用</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法。</w:t>
      </w:r>
    </w:p>
    <w:p w14:paraId="0AE2D3B3">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申请人提交的资源储量为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4239A717">
      <w:pPr>
        <w:overflowPunct w:val="0"/>
        <w:adjustRightInd w:val="0"/>
        <w:snapToGrid w:val="0"/>
        <w:spacing w:line="594" w:lineRule="exact"/>
        <w:ind w:firstLine="640" w:firstLineChars="200"/>
        <w:rPr>
          <w:rFonts w:hint="eastAsia" w:ascii="Times New Roman" w:hAnsi="Times New Roman" w:eastAsia="方正黑体_GBK" w:cs="方正黑体_GBK"/>
          <w:snapToGrid w:val="0"/>
          <w:color w:val="000000" w:themeColor="text1"/>
          <w:sz w:val="32"/>
          <w:szCs w:val="32"/>
          <w14:textFill>
            <w14:solidFill>
              <w14:schemeClr w14:val="tx1"/>
            </w14:solidFill>
          </w14:textFill>
        </w:rPr>
      </w:pPr>
      <w:r>
        <w:rPr>
          <w:rFonts w:hint="eastAsia" w:ascii="Times New Roman" w:hAnsi="Times New Roman" w:eastAsia="方正黑体_GBK" w:cs="方正黑体_GBK"/>
          <w:snapToGrid w:val="0"/>
          <w:color w:val="000000" w:themeColor="text1"/>
          <w:sz w:val="32"/>
          <w:szCs w:val="32"/>
          <w14:textFill>
            <w14:solidFill>
              <w14:schemeClr w14:val="tx1"/>
            </w14:solidFill>
          </w14:textFill>
        </w:rPr>
        <w:t>三、评审情况</w:t>
      </w:r>
    </w:p>
    <w:p w14:paraId="554DF5A4">
      <w:pPr>
        <w:overflowPunct w:val="0"/>
        <w:adjustRightInd w:val="0"/>
        <w:snapToGrid w:val="0"/>
        <w:spacing w:line="594" w:lineRule="exact"/>
        <w:ind w:firstLine="640" w:firstLineChars="200"/>
        <w:rPr>
          <w:rFonts w:ascii="Times New Roman" w:hAnsi="Times New Roman" w:eastAsia="楷体_GB2312" w:cs="Times New Roman"/>
          <w:snapToGrid w:val="0"/>
          <w:color w:val="000000" w:themeColor="text1"/>
          <w:sz w:val="32"/>
          <w:szCs w:val="32"/>
          <w14:textFill>
            <w14:solidFill>
              <w14:schemeClr w14:val="tx1"/>
            </w14:solidFill>
          </w14:textFill>
        </w:rPr>
      </w:pPr>
      <w:r>
        <w:rPr>
          <w:rFonts w:ascii="Times New Roman" w:hAnsi="Times New Roman" w:eastAsia="楷体_GB2312" w:cs="Times New Roman"/>
          <w:snapToGrid w:val="0"/>
          <w:color w:val="000000" w:themeColor="text1"/>
          <w:sz w:val="32"/>
          <w:szCs w:val="32"/>
          <w14:textFill>
            <w14:solidFill>
              <w14:schemeClr w14:val="tx1"/>
            </w14:solidFill>
          </w14:textFill>
        </w:rPr>
        <w:t>（一）评审依据。</w:t>
      </w:r>
    </w:p>
    <w:p w14:paraId="745FC8DF">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评审本次报告依据的主要技术标准有：</w:t>
      </w:r>
    </w:p>
    <w:p w14:paraId="3E248996">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》（DZ/T</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-2020）。</w:t>
      </w:r>
    </w:p>
    <w:p w14:paraId="6EA30794">
      <w:pPr>
        <w:overflowPunct w:val="0"/>
        <w:adjustRightInd w:val="0"/>
        <w:snapToGrid w:val="0"/>
        <w:spacing w:line="594" w:lineRule="exact"/>
        <w:ind w:firstLine="640" w:firstLineChars="200"/>
        <w:rPr>
          <w:rFonts w:ascii="Times New Roman" w:hAnsi="Times New Roman" w:eastAsia="楷体_GB2312" w:cs="Times New Roman"/>
          <w:snapToGrid w:val="0"/>
          <w:color w:val="000000" w:themeColor="text1"/>
          <w:sz w:val="32"/>
          <w:szCs w:val="32"/>
          <w14:textFill>
            <w14:solidFill>
              <w14:schemeClr w14:val="tx1"/>
            </w14:solidFill>
          </w14:textFill>
        </w:rPr>
      </w:pPr>
      <w:r>
        <w:rPr>
          <w:rFonts w:ascii="Times New Roman" w:hAnsi="Times New Roman" w:eastAsia="楷体_GB2312" w:cs="Times New Roman"/>
          <w:snapToGrid w:val="0"/>
          <w:color w:val="000000" w:themeColor="text1"/>
          <w:sz w:val="32"/>
          <w:szCs w:val="32"/>
          <w14:textFill>
            <w14:solidFill>
              <w14:schemeClr w14:val="tx1"/>
            </w14:solidFill>
          </w14:textFill>
        </w:rPr>
        <w:t>（二）主要评审意见。</w:t>
      </w:r>
    </w:p>
    <w:p w14:paraId="375FCC38">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以往地质工作及质量，本次工作方法、工程部署、工程质量合理性及合规性；矿体特征、矿石特征、矿石加工选冶技术性能、开采技术条件的研究程度及其合理性和合规性；工业指标确定、资源储量估算方法与参数选择、技术经济评价等的合理合规性。</w:t>
      </w:r>
    </w:p>
    <w:p w14:paraId="6392A53E">
      <w:pPr>
        <w:overflowPunct w:val="0"/>
        <w:adjustRightInd/>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（三）评审专家分歧意见及处理情况。</w:t>
      </w:r>
    </w:p>
    <w:p w14:paraId="4A5B56EF">
      <w:pPr>
        <w:overflowPunct w:val="0"/>
        <w:adjustRightInd w:val="0"/>
        <w:snapToGrid w:val="0"/>
        <w:spacing w:line="594" w:lineRule="exact"/>
        <w:ind w:firstLine="640" w:firstLineChars="200"/>
        <w:rPr>
          <w:rFonts w:ascii="Times New Roman" w:hAnsi="Times New Roman" w:eastAsia="黑体" w:cs="Times New Roman"/>
          <w:snapToGrid w:val="0"/>
          <w:color w:val="000000" w:themeColor="text1"/>
          <w:sz w:val="32"/>
          <w:szCs w:val="32"/>
          <w14:textFill>
            <w14:solidFill>
              <w14:schemeClr w14:val="tx1"/>
            </w14:solidFill>
          </w14:textFill>
        </w:rPr>
      </w:pPr>
      <w:r>
        <w:rPr>
          <w:rFonts w:ascii="Times New Roman" w:hAnsi="Times New Roman" w:eastAsia="黑体" w:cs="Times New Roman"/>
          <w:snapToGrid w:val="0"/>
          <w:color w:val="000000" w:themeColor="text1"/>
          <w:sz w:val="32"/>
          <w:szCs w:val="32"/>
          <w14:textFill>
            <w14:solidFill>
              <w14:schemeClr w14:val="tx1"/>
            </w14:solidFill>
          </w14:textFill>
        </w:rPr>
        <w:t>四、评审结论</w:t>
      </w:r>
    </w:p>
    <w:p w14:paraId="14B4A489">
      <w:pPr>
        <w:overflowPunct w:val="0"/>
        <w:adjustRightInd/>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bCs w:val="0"/>
          <w:snapToGrid w:val="0"/>
          <w:color w:val="000000" w:themeColor="text1"/>
          <w:sz w:val="32"/>
          <w:szCs w:val="32"/>
          <w14:textFill>
            <w14:solidFill>
              <w14:schemeClr w14:val="tx1"/>
            </w14:solidFill>
          </w14:textFill>
        </w:rPr>
        <w:t>（一）</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评审通过的资源储量。</w:t>
      </w:r>
    </w:p>
    <w:p w14:paraId="4952668C">
      <w:pPr>
        <w:overflowPunct w:val="0"/>
        <w:snapToGrid w:val="0"/>
        <w:spacing w:line="594"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评审通过的资源储量见表</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2</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w:t>
      </w:r>
    </w:p>
    <w:p w14:paraId="1E591A95">
      <w:pPr>
        <w:pStyle w:val="5"/>
        <w:adjustRightInd w:val="0"/>
        <w:snapToGrid w:val="0"/>
        <w:spacing w:line="560" w:lineRule="exact"/>
        <w:ind w:firstLine="0" w:firstLineChars="0"/>
        <w:jc w:val="center"/>
        <w:rPr>
          <w:rFonts w:hint="eastAsia" w:ascii="Times New Roman" w:hAnsi="Times New Roman" w:eastAsia="方正黑体_GBK" w:cs="方正黑体_GBK"/>
          <w:snapToGrid w:val="0"/>
          <w:color w:val="000000" w:themeColor="text1"/>
          <w:kern w:val="24"/>
          <w:sz w:val="32"/>
          <w:szCs w:val="32"/>
          <w14:textFill>
            <w14:solidFill>
              <w14:schemeClr w14:val="tx1"/>
            </w14:solidFill>
          </w14:textFill>
        </w:rPr>
      </w:pPr>
      <w:r>
        <w:rPr>
          <w:rFonts w:hint="eastAsia" w:ascii="Times New Roman" w:hAnsi="Times New Roman" w:eastAsia="方正黑体_GBK" w:cs="方正黑体_GBK"/>
          <w:snapToGrid w:val="0"/>
          <w:color w:val="000000" w:themeColor="text1"/>
          <w:kern w:val="24"/>
          <w:sz w:val="32"/>
          <w:szCs w:val="32"/>
          <w14:textFill>
            <w14:solidFill>
              <w14:schemeClr w14:val="tx1"/>
            </w14:solidFill>
          </w14:textFill>
        </w:rPr>
        <w:t>表</w:t>
      </w:r>
      <w:r>
        <w:rPr>
          <w:rFonts w:hint="eastAsia" w:ascii="Times New Roman" w:hAnsi="Times New Roman" w:eastAsia="方正黑体_GBK" w:cs="方正黑体_GBK"/>
          <w:snapToGrid w:val="0"/>
          <w:color w:val="000000" w:themeColor="text1"/>
          <w:kern w:val="24"/>
          <w:sz w:val="32"/>
          <w:szCs w:val="32"/>
          <w:lang w:val="en-US" w:eastAsia="zh-CN"/>
          <w14:textFill>
            <w14:solidFill>
              <w14:schemeClr w14:val="tx1"/>
            </w14:solidFill>
          </w14:textFill>
        </w:rPr>
        <w:t>2</w:t>
      </w:r>
      <w:r>
        <w:rPr>
          <w:rFonts w:hint="eastAsia" w:ascii="Times New Roman" w:hAnsi="Times New Roman" w:eastAsia="方正黑体_GBK" w:cs="方正黑体_GBK"/>
          <w:snapToGrid w:val="0"/>
          <w:color w:val="000000" w:themeColor="text1"/>
          <w:kern w:val="24"/>
          <w:sz w:val="32"/>
          <w:szCs w:val="32"/>
          <w14:textFill>
            <w14:solidFill>
              <w14:schemeClr w14:val="tx1"/>
            </w14:solidFill>
          </w14:textFill>
        </w:rPr>
        <w:t xml:space="preserve">  评审通过的资源储量一览表</w:t>
      </w:r>
    </w:p>
    <w:tbl>
      <w:tblPr>
        <w:tblStyle w:val="11"/>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194"/>
        <w:gridCol w:w="1090"/>
        <w:gridCol w:w="1090"/>
        <w:gridCol w:w="1090"/>
        <w:gridCol w:w="1090"/>
        <w:gridCol w:w="1090"/>
        <w:gridCol w:w="1090"/>
      </w:tblGrid>
      <w:tr w14:paraId="05D8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restart"/>
            <w:vAlign w:val="center"/>
          </w:tcPr>
          <w:p w14:paraId="521CDAF4">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保有</w:t>
            </w:r>
          </w:p>
          <w:p w14:paraId="6F2CCC02">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资源储量</w:t>
            </w:r>
          </w:p>
        </w:tc>
        <w:tc>
          <w:tcPr>
            <w:tcW w:w="1194" w:type="dxa"/>
            <w:tcMar>
              <w:left w:w="0" w:type="dxa"/>
              <w:right w:w="0" w:type="dxa"/>
            </w:tcMar>
            <w:vAlign w:val="center"/>
          </w:tcPr>
          <w:p w14:paraId="4D8542CB">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资源</w:t>
            </w:r>
          </w:p>
          <w:p w14:paraId="68D5E200">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储量类型</w:t>
            </w:r>
          </w:p>
        </w:tc>
        <w:tc>
          <w:tcPr>
            <w:tcW w:w="1090" w:type="dxa"/>
            <w:tcMar>
              <w:left w:w="0" w:type="dxa"/>
              <w:right w:w="0" w:type="dxa"/>
            </w:tcMar>
            <w:vAlign w:val="center"/>
          </w:tcPr>
          <w:p w14:paraId="78FD46E4">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5DD60CD7">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主矿产</w:t>
            </w:r>
          </w:p>
          <w:p w14:paraId="20E664CE">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w:t>
            </w:r>
          </w:p>
        </w:tc>
        <w:tc>
          <w:tcPr>
            <w:tcW w:w="1090" w:type="dxa"/>
            <w:vAlign w:val="center"/>
          </w:tcPr>
          <w:p w14:paraId="311975C9">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共生矿产</w:t>
            </w:r>
          </w:p>
          <w:p w14:paraId="12BA8C1B">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w:t>
            </w:r>
          </w:p>
        </w:tc>
        <w:tc>
          <w:tcPr>
            <w:tcW w:w="1090" w:type="dxa"/>
            <w:tcMar>
              <w:left w:w="0" w:type="dxa"/>
              <w:right w:w="0" w:type="dxa"/>
            </w:tcMar>
            <w:vAlign w:val="center"/>
          </w:tcPr>
          <w:p w14:paraId="5A2BFCB3">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w:t>
            </w:r>
          </w:p>
        </w:tc>
        <w:tc>
          <w:tcPr>
            <w:tcW w:w="1090" w:type="dxa"/>
            <w:vAlign w:val="center"/>
          </w:tcPr>
          <w:p w14:paraId="07DAA99B">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伴生矿产</w:t>
            </w:r>
          </w:p>
          <w:p w14:paraId="6E118996">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w:t>
            </w:r>
          </w:p>
        </w:tc>
        <w:tc>
          <w:tcPr>
            <w:tcW w:w="1090" w:type="dxa"/>
            <w:vAlign w:val="center"/>
          </w:tcPr>
          <w:p w14:paraId="6D917565">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w:t>
            </w:r>
          </w:p>
        </w:tc>
      </w:tr>
      <w:tr w14:paraId="327D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7E8D0BBD">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restart"/>
            <w:tcMar>
              <w:left w:w="0" w:type="dxa"/>
              <w:right w:w="0" w:type="dxa"/>
            </w:tcMar>
            <w:vAlign w:val="center"/>
          </w:tcPr>
          <w:p w14:paraId="1D205DAA">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探明</w:t>
            </w:r>
          </w:p>
          <w:p w14:paraId="47886292">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资源量</w:t>
            </w:r>
          </w:p>
        </w:tc>
        <w:tc>
          <w:tcPr>
            <w:tcW w:w="1090" w:type="dxa"/>
            <w:tcMar>
              <w:left w:w="0" w:type="dxa"/>
              <w:right w:w="0" w:type="dxa"/>
            </w:tcMar>
            <w:vAlign w:val="center"/>
          </w:tcPr>
          <w:p w14:paraId="291A568B">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金属量</w:t>
            </w:r>
          </w:p>
          <w:p w14:paraId="5F6F1FE9">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01766A5F">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522F35C7">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0BDD47FB">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6E7B42F0">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2E0B46F2">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59BE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00C8936E">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continue"/>
            <w:tcMar>
              <w:left w:w="0" w:type="dxa"/>
              <w:right w:w="0" w:type="dxa"/>
            </w:tcMar>
            <w:vAlign w:val="center"/>
          </w:tcPr>
          <w:p w14:paraId="5313E6F3">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p>
        </w:tc>
        <w:tc>
          <w:tcPr>
            <w:tcW w:w="1090" w:type="dxa"/>
            <w:tcMar>
              <w:left w:w="0" w:type="dxa"/>
              <w:right w:w="0" w:type="dxa"/>
            </w:tcMar>
            <w:vAlign w:val="center"/>
          </w:tcPr>
          <w:p w14:paraId="7A806E85">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矿石量</w:t>
            </w:r>
          </w:p>
          <w:p w14:paraId="30F533FB">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2DAA6C9F">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07F0B656">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62F69153">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6FA484FB">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1873D91F">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3629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13B950FD">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restart"/>
            <w:tcMar>
              <w:left w:w="0" w:type="dxa"/>
              <w:right w:w="0" w:type="dxa"/>
            </w:tcMar>
            <w:vAlign w:val="center"/>
          </w:tcPr>
          <w:p w14:paraId="306CE0F6">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控制</w:t>
            </w:r>
          </w:p>
          <w:p w14:paraId="199E0623">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资源量</w:t>
            </w:r>
          </w:p>
        </w:tc>
        <w:tc>
          <w:tcPr>
            <w:tcW w:w="1090" w:type="dxa"/>
            <w:tcMar>
              <w:left w:w="0" w:type="dxa"/>
              <w:right w:w="0" w:type="dxa"/>
            </w:tcMar>
            <w:vAlign w:val="center"/>
          </w:tcPr>
          <w:p w14:paraId="63CC373E">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金属量</w:t>
            </w:r>
          </w:p>
          <w:p w14:paraId="038DA720">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7536C926">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00B3EE77">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245392B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3F3D820F">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5D9AD693">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729F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50E0D781">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continue"/>
            <w:tcMar>
              <w:left w:w="0" w:type="dxa"/>
              <w:right w:w="0" w:type="dxa"/>
            </w:tcMar>
            <w:vAlign w:val="center"/>
          </w:tcPr>
          <w:p w14:paraId="58E89517">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p>
        </w:tc>
        <w:tc>
          <w:tcPr>
            <w:tcW w:w="1090" w:type="dxa"/>
            <w:tcMar>
              <w:left w:w="0" w:type="dxa"/>
              <w:right w:w="0" w:type="dxa"/>
            </w:tcMar>
            <w:vAlign w:val="center"/>
          </w:tcPr>
          <w:p w14:paraId="48C3AB70">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矿石量</w:t>
            </w:r>
          </w:p>
          <w:p w14:paraId="6C71B915">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4D016042">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64158536">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7BF7193E">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1CDD82E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72CB4802">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3E92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164253DE">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restart"/>
            <w:tcMar>
              <w:left w:w="0" w:type="dxa"/>
              <w:right w:w="0" w:type="dxa"/>
            </w:tcMar>
            <w:vAlign w:val="center"/>
          </w:tcPr>
          <w:p w14:paraId="56553239">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en-US"/>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en-US"/>
                <w14:textFill>
                  <w14:solidFill>
                    <w14:schemeClr w14:val="tx1"/>
                  </w14:solidFill>
                </w14:textFill>
              </w:rPr>
              <w:t>可信储量/证实储量</w:t>
            </w:r>
          </w:p>
        </w:tc>
        <w:tc>
          <w:tcPr>
            <w:tcW w:w="1090" w:type="dxa"/>
            <w:tcMar>
              <w:left w:w="0" w:type="dxa"/>
              <w:right w:w="0" w:type="dxa"/>
            </w:tcMar>
            <w:vAlign w:val="center"/>
          </w:tcPr>
          <w:p w14:paraId="6221CB7A">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金属量</w:t>
            </w:r>
          </w:p>
          <w:p w14:paraId="621A8A3A">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292F918C">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0E802952">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79118B6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1B0BBAA7">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25876338">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443E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Merge w:val="continue"/>
            <w:vAlign w:val="center"/>
          </w:tcPr>
          <w:p w14:paraId="1623362C">
            <w:pPr>
              <w:pStyle w:val="16"/>
              <w:adjustRightInd w:val="0"/>
              <w:snapToGrid w:val="0"/>
              <w:spacing w:line="240" w:lineRule="exact"/>
              <w:jc w:val="center"/>
              <w:rPr>
                <w:rFonts w:hint="eastAsia" w:ascii="Times New Roman" w:hAnsi="Times New Roman" w:eastAsia="方正仿宋_GBK" w:cs="方正仿宋_GBK"/>
                <w:color w:val="000000" w:themeColor="text1"/>
                <w14:textFill>
                  <w14:solidFill>
                    <w14:schemeClr w14:val="tx1"/>
                  </w14:solidFill>
                </w14:textFill>
              </w:rPr>
            </w:pPr>
          </w:p>
        </w:tc>
        <w:tc>
          <w:tcPr>
            <w:tcW w:w="1194" w:type="dxa"/>
            <w:vMerge w:val="continue"/>
            <w:tcMar>
              <w:left w:w="0" w:type="dxa"/>
              <w:right w:w="0" w:type="dxa"/>
            </w:tcMar>
            <w:vAlign w:val="center"/>
          </w:tcPr>
          <w:p w14:paraId="626A3B87">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p>
        </w:tc>
        <w:tc>
          <w:tcPr>
            <w:tcW w:w="1090" w:type="dxa"/>
            <w:tcMar>
              <w:left w:w="0" w:type="dxa"/>
              <w:right w:w="0" w:type="dxa"/>
            </w:tcMar>
            <w:vAlign w:val="center"/>
          </w:tcPr>
          <w:p w14:paraId="4486CDD4">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矿石量</w:t>
            </w:r>
          </w:p>
          <w:p w14:paraId="18652F50">
            <w:pPr>
              <w:adjustRightInd w:val="0"/>
              <w:snapToGrid w:val="0"/>
              <w:spacing w:line="20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t>（单位）</w:t>
            </w:r>
          </w:p>
        </w:tc>
        <w:tc>
          <w:tcPr>
            <w:tcW w:w="1090" w:type="dxa"/>
            <w:tcMar>
              <w:left w:w="0" w:type="dxa"/>
              <w:right w:w="0" w:type="dxa"/>
            </w:tcMar>
            <w:vAlign w:val="center"/>
          </w:tcPr>
          <w:p w14:paraId="6A9686F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6A5F8FB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7CEA359F">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7919439E">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6FEAA303">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54BF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Align w:val="center"/>
          </w:tcPr>
          <w:p w14:paraId="7D8053E2">
            <w:pPr>
              <w:pStyle w:val="16"/>
              <w:adjustRightInd w:val="0"/>
              <w:snapToGrid w:val="0"/>
              <w:spacing w:line="22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累计动用</w:t>
            </w:r>
          </w:p>
          <w:p w14:paraId="4ED9A278">
            <w:pPr>
              <w:pStyle w:val="16"/>
              <w:adjustRightInd w:val="0"/>
              <w:snapToGrid w:val="0"/>
              <w:spacing w:line="22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资源储量</w:t>
            </w:r>
          </w:p>
        </w:tc>
        <w:tc>
          <w:tcPr>
            <w:tcW w:w="1194" w:type="dxa"/>
            <w:tcMar>
              <w:left w:w="0" w:type="dxa"/>
              <w:right w:w="0" w:type="dxa"/>
            </w:tcMar>
            <w:vAlign w:val="center"/>
          </w:tcPr>
          <w:p w14:paraId="5ADB10D5">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w:t>
            </w:r>
          </w:p>
        </w:tc>
        <w:tc>
          <w:tcPr>
            <w:tcW w:w="1090" w:type="dxa"/>
            <w:tcMar>
              <w:left w:w="0" w:type="dxa"/>
              <w:right w:w="0" w:type="dxa"/>
            </w:tcMar>
            <w:vAlign w:val="center"/>
          </w:tcPr>
          <w:p w14:paraId="3325DF84">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17D409E7">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488A9FD4">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323E64C9">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3BA705A8">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4D447619">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r w14:paraId="0156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jc w:val="center"/>
        </w:trPr>
        <w:tc>
          <w:tcPr>
            <w:tcW w:w="1355" w:type="dxa"/>
            <w:vAlign w:val="center"/>
          </w:tcPr>
          <w:p w14:paraId="164FEF94">
            <w:pPr>
              <w:pStyle w:val="16"/>
              <w:adjustRightInd w:val="0"/>
              <w:snapToGrid w:val="0"/>
              <w:spacing w:line="22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累计查明</w:t>
            </w:r>
          </w:p>
          <w:p w14:paraId="4E8C1306">
            <w:pPr>
              <w:pStyle w:val="16"/>
              <w:adjustRightInd w:val="0"/>
              <w:snapToGrid w:val="0"/>
              <w:spacing w:line="220" w:lineRule="exact"/>
              <w:jc w:val="center"/>
              <w:rPr>
                <w:rFonts w:hint="eastAsia" w:ascii="Times New Roman" w:hAnsi="Times New Roman" w:eastAsia="方正仿宋_GBK" w:cs="方正仿宋_GBK"/>
                <w:color w:val="000000" w:themeColor="text1"/>
                <w14:textFill>
                  <w14:solidFill>
                    <w14:schemeClr w14:val="tx1"/>
                  </w14:solidFill>
                </w14:textFill>
              </w:rPr>
            </w:pPr>
            <w:r>
              <w:rPr>
                <w:rFonts w:hint="eastAsia" w:ascii="Times New Roman" w:hAnsi="Times New Roman" w:eastAsia="方正仿宋_GBK" w:cs="方正仿宋_GBK"/>
                <w:color w:val="000000" w:themeColor="text1"/>
                <w14:textFill>
                  <w14:solidFill>
                    <w14:schemeClr w14:val="tx1"/>
                  </w14:solidFill>
                </w14:textFill>
              </w:rPr>
              <w:t>资源储量</w:t>
            </w:r>
          </w:p>
        </w:tc>
        <w:tc>
          <w:tcPr>
            <w:tcW w:w="1194" w:type="dxa"/>
            <w:tcMar>
              <w:left w:w="0" w:type="dxa"/>
              <w:right w:w="0" w:type="dxa"/>
            </w:tcMar>
            <w:vAlign w:val="center"/>
          </w:tcPr>
          <w:p w14:paraId="26F0E35A">
            <w:pPr>
              <w:pStyle w:val="16"/>
              <w:adjustRightInd w:val="0"/>
              <w:snapToGrid w:val="0"/>
              <w:spacing w:line="240" w:lineRule="exact"/>
              <w:jc w:val="center"/>
              <w:rPr>
                <w:rFonts w:hint="eastAsia" w:ascii="Times New Roman" w:hAnsi="Times New Roman" w:eastAsia="方正仿宋_GBK" w:cs="方正仿宋_GBK"/>
                <w:color w:val="000000" w:themeColor="text1"/>
                <w:kern w:val="0"/>
                <w:sz w:val="18"/>
                <w:szCs w:val="18"/>
                <w14:textFill>
                  <w14:solidFill>
                    <w14:schemeClr w14:val="tx1"/>
                  </w14:solidFill>
                </w14:textFill>
              </w:rPr>
            </w:pPr>
            <w:r>
              <w:rPr>
                <w:rFonts w:hint="eastAsia" w:ascii="Times New Roman" w:hAnsi="Times New Roman" w:eastAsia="方正仿宋_GBK" w:cs="方正仿宋_GBK"/>
                <w:color w:val="000000" w:themeColor="text1"/>
                <w:kern w:val="0"/>
                <w:sz w:val="18"/>
                <w:szCs w:val="18"/>
                <w14:textFill>
                  <w14:solidFill>
                    <w14:schemeClr w14:val="tx1"/>
                  </w14:solidFill>
                </w14:textFill>
              </w:rPr>
              <w:t>……</w:t>
            </w:r>
          </w:p>
        </w:tc>
        <w:tc>
          <w:tcPr>
            <w:tcW w:w="1090" w:type="dxa"/>
            <w:tcMar>
              <w:left w:w="0" w:type="dxa"/>
              <w:right w:w="0" w:type="dxa"/>
            </w:tcMar>
            <w:vAlign w:val="center"/>
          </w:tcPr>
          <w:p w14:paraId="481F9F63">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6AE7FE20">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3F646C05">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tcMar>
              <w:left w:w="0" w:type="dxa"/>
              <w:right w:w="0" w:type="dxa"/>
            </w:tcMar>
            <w:vAlign w:val="center"/>
          </w:tcPr>
          <w:p w14:paraId="7F1DF483">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5DB5D729">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c>
          <w:tcPr>
            <w:tcW w:w="1090" w:type="dxa"/>
            <w:vAlign w:val="center"/>
          </w:tcPr>
          <w:p w14:paraId="311413A4">
            <w:pPr>
              <w:adjustRightInd w:val="0"/>
              <w:snapToGrid w:val="0"/>
              <w:spacing w:line="240" w:lineRule="exact"/>
              <w:jc w:val="center"/>
              <w:rPr>
                <w:rFonts w:hint="eastAsia" w:ascii="Times New Roman" w:hAnsi="Times New Roman" w:eastAsia="方正仿宋_GBK" w:cs="方正仿宋_GBK"/>
                <w:color w:val="000000" w:themeColor="text1"/>
                <w:kern w:val="0"/>
                <w:sz w:val="18"/>
                <w:szCs w:val="18"/>
                <w:lang w:val="zh-CN"/>
                <w14:textFill>
                  <w14:solidFill>
                    <w14:schemeClr w14:val="tx1"/>
                  </w14:solidFill>
                </w14:textFill>
              </w:rPr>
            </w:pPr>
          </w:p>
        </w:tc>
      </w:tr>
    </w:tbl>
    <w:p w14:paraId="6AC7A5BD">
      <w:pPr>
        <w:overflowPunct w:val="0"/>
        <w:adjustRightInd w:val="0"/>
        <w:snapToGrid w:val="0"/>
        <w:spacing w:line="560" w:lineRule="exact"/>
        <w:ind w:firstLine="420" w:firstLineChars="200"/>
        <w:rPr>
          <w:rFonts w:hint="eastAsia" w:ascii="方正仿宋_GBK" w:hAnsi="方正仿宋_GBK" w:eastAsia="方正仿宋_GBK" w:cs="方正仿宋_GBK"/>
          <w:color w:val="000000" w:themeColor="text1"/>
          <w:kern w:val="11"/>
          <w:lang w:val="zh-CN"/>
          <w14:textFill>
            <w14:solidFill>
              <w14:schemeClr w14:val="tx1"/>
            </w14:solidFill>
          </w14:textFill>
        </w:rPr>
      </w:pPr>
      <w:r>
        <w:rPr>
          <w:rFonts w:hint="eastAsia" w:ascii="方正仿宋_GBK" w:hAnsi="方正仿宋_GBK" w:eastAsia="方正仿宋_GBK" w:cs="方正仿宋_GBK"/>
          <w:color w:val="000000" w:themeColor="text1"/>
          <w:kern w:val="11"/>
          <w:lang w:val="zh-CN"/>
          <w14:textFill>
            <w14:solidFill>
              <w14:schemeClr w14:val="tx1"/>
            </w14:solidFill>
          </w14:textFill>
        </w:rPr>
        <w:t>注：表中资源量和储量为包含关系。（同时提交资源量和储量时，需要加备注）</w:t>
      </w:r>
    </w:p>
    <w:p w14:paraId="29609837">
      <w:pPr>
        <w:overflowPunct/>
        <w:adjustRightInd/>
        <w:snapToGrid/>
        <w:spacing w:line="600" w:lineRule="exact"/>
        <w:ind w:firstLine="640" w:firstLineChars="200"/>
        <w:rPr>
          <w:rFonts w:hint="eastAsia" w:ascii="方正楷体_GBK" w:hAnsi="方正楷体_GBK" w:eastAsia="方正楷体_GBK" w:cs="方正楷体_GBK"/>
          <w:snapToGrid w:val="0"/>
          <w:color w:val="000000" w:themeColor="text1"/>
          <w:sz w:val="32"/>
          <w:szCs w:val="32"/>
          <w14:textFill>
            <w14:solidFill>
              <w14:schemeClr w14:val="tx1"/>
            </w14:solidFill>
          </w14:textFill>
        </w:rPr>
      </w:pPr>
      <w:r>
        <w:rPr>
          <w:rFonts w:hint="eastAsia" w:ascii="方正楷体_GBK" w:hAnsi="方正楷体_GBK" w:eastAsia="方正楷体_GBK" w:cs="方正楷体_GBK"/>
          <w:snapToGrid w:val="0"/>
          <w:color w:val="000000" w:themeColor="text1"/>
          <w:sz w:val="32"/>
          <w:szCs w:val="32"/>
          <w14:textFill>
            <w14:solidFill>
              <w14:schemeClr w14:val="tx1"/>
            </w14:solidFill>
          </w14:textFill>
        </w:rPr>
        <w:t>（二）资源量变化情况。</w:t>
      </w:r>
    </w:p>
    <w:p w14:paraId="433F0894">
      <w:pPr>
        <w:spacing w:line="600"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与本次报告有关的最近一次经过评审备案的报告为《</w:t>
      </w:r>
      <w:r>
        <w:rPr>
          <w:rFonts w:hint="eastAsia"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报告》（备案文号）。本次报告资源储量估算范围与最近一次报告完全一致/不一致（见附件</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2</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），资源量变化情况见附件</w:t>
      </w:r>
      <w:r>
        <w:rPr>
          <w:rFonts w:hint="eastAsia" w:ascii="Times New Roman" w:hAnsi="Times New Roman" w:eastAsia="方正仿宋_GBK" w:cs="方正仿宋_GBK"/>
          <w:snapToGrid w:val="0"/>
          <w:color w:val="000000" w:themeColor="text1"/>
          <w:sz w:val="32"/>
          <w:szCs w:val="32"/>
          <w:lang w:val="en-US" w:eastAsia="zh-CN"/>
          <w14:textFill>
            <w14:solidFill>
              <w14:schemeClr w14:val="tx1"/>
            </w14:solidFill>
          </w14:textFill>
        </w:rPr>
        <w:t>3</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。与原勘查区（矿区）重叠范围内资源量增减情况，简述估算范围不一致的原因，资源量变化的原因。</w:t>
      </w:r>
    </w:p>
    <w:p w14:paraId="38BF63B5">
      <w:pPr>
        <w:overflowPunct/>
        <w:adjustRightInd/>
        <w:snapToGrid/>
        <w:spacing w:line="600" w:lineRule="exact"/>
        <w:ind w:firstLine="640" w:firstLineChars="200"/>
        <w:rPr>
          <w:rFonts w:hint="eastAsia" w:ascii="Times New Roman" w:hAnsi="Times New Roman" w:eastAsia="方正楷体_GBK" w:cs="方正楷体_GBK"/>
          <w:snapToGrid w:val="0"/>
          <w:color w:val="000000" w:themeColor="text1"/>
          <w:sz w:val="32"/>
          <w:szCs w:val="32"/>
          <w14:textFill>
            <w14:solidFill>
              <w14:schemeClr w14:val="tx1"/>
            </w14:solidFill>
          </w14:textFill>
        </w:rPr>
      </w:pPr>
      <w:r>
        <w:rPr>
          <w:rFonts w:hint="eastAsia" w:ascii="Times New Roman" w:hAnsi="Times New Roman" w:eastAsia="方正楷体_GBK" w:cs="方正楷体_GBK"/>
          <w:snapToGrid w:val="0"/>
          <w:color w:val="000000" w:themeColor="text1"/>
          <w:sz w:val="32"/>
          <w:szCs w:val="32"/>
          <w14:textFill>
            <w14:solidFill>
              <w14:schemeClr w14:val="tx1"/>
            </w14:solidFill>
          </w14:textFill>
        </w:rPr>
        <w:t>（三）总体评价。</w:t>
      </w:r>
    </w:p>
    <w:p w14:paraId="77B51B09">
      <w:pPr>
        <w:spacing w:line="600"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资源储量估算利用的勘查工程质量、样品的采样和测试试验质量符合规范要求，工业指标论证、资源储量估算、概略研究及报告编制符合规范要求，勘查区/矿区的勘查工作程度达到详查/勘探程度。</w:t>
      </w:r>
    </w:p>
    <w:p w14:paraId="4934AAD0">
      <w:pPr>
        <w:spacing w:line="600" w:lineRule="exact"/>
        <w:ind w:firstLine="640" w:firstLineChars="200"/>
        <w:rPr>
          <w:rFonts w:hint="eastAsia" w:ascii="Times New Roman" w:hAnsi="Times New Roman" w:eastAsia="方正仿宋_GBK" w:cs="方正仿宋_GBK"/>
          <w:snapToGrid w:val="0"/>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建议予以/不予评审备案。</w:t>
      </w:r>
    </w:p>
    <w:p w14:paraId="49D23815">
      <w:pPr>
        <w:overflowPunct w:val="0"/>
        <w:adjustRightInd w:val="0"/>
        <w:snapToGrid w:val="0"/>
        <w:spacing w:line="600" w:lineRule="exact"/>
        <w:ind w:firstLine="640" w:firstLineChars="200"/>
        <w:rPr>
          <w:rFonts w:hint="eastAsia" w:ascii="Times New Roman" w:hAnsi="Times New Roman" w:eastAsia="方正黑体_GBK" w:cs="方正黑体_GBK"/>
          <w:snapToGrid w:val="0"/>
          <w:color w:val="000000" w:themeColor="text1"/>
          <w:sz w:val="32"/>
          <w:szCs w:val="32"/>
          <w14:textFill>
            <w14:solidFill>
              <w14:schemeClr w14:val="tx1"/>
            </w14:solidFill>
          </w14:textFill>
        </w:rPr>
      </w:pPr>
      <w:r>
        <w:rPr>
          <w:rFonts w:hint="eastAsia" w:ascii="Times New Roman" w:hAnsi="Times New Roman" w:eastAsia="方正黑体_GBK" w:cs="方正黑体_GBK"/>
          <w:snapToGrid w:val="0"/>
          <w:color w:val="000000" w:themeColor="text1"/>
          <w:sz w:val="32"/>
          <w:szCs w:val="32"/>
          <w14:textFill>
            <w14:solidFill>
              <w14:schemeClr w14:val="tx1"/>
            </w14:solidFill>
          </w14:textFill>
        </w:rPr>
        <w:t>五、存在问题与建议</w:t>
      </w:r>
    </w:p>
    <w:p w14:paraId="7564ED1B">
      <w:pPr>
        <w:overflowPunct w:val="0"/>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napToGrid w:val="0"/>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w:t>
      </w:r>
    </w:p>
    <w:p w14:paraId="14E14226">
      <w:pPr>
        <w:overflowPunct w:val="0"/>
        <w:adjustRightInd w:val="0"/>
        <w:snapToGrid w:val="0"/>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napToGrid w:val="0"/>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w:t>
      </w:r>
    </w:p>
    <w:p w14:paraId="1A2AA20E">
      <w:pPr>
        <w:overflowPunct w:val="0"/>
        <w:spacing w:line="600" w:lineRule="exact"/>
        <w:ind w:firstLine="640" w:firstLineChars="200"/>
        <w:rPr>
          <w:rFonts w:hint="eastAsia" w:ascii="Times New Roman" w:hAnsi="Times New Roman" w:eastAsia="方正仿宋_GBK" w:cs="方正仿宋_GBK"/>
          <w:color w:val="000000" w:themeColor="text1"/>
          <w:sz w:val="32"/>
          <w:szCs w:val="32"/>
          <w14:textFill>
            <w14:solidFill>
              <w14:schemeClr w14:val="tx1"/>
            </w14:solidFill>
          </w14:textFill>
        </w:rPr>
      </w:pPr>
    </w:p>
    <w:p w14:paraId="7365A339">
      <w:pPr>
        <w:overflowPunct w:val="0"/>
        <w:spacing w:line="600" w:lineRule="exact"/>
        <w:ind w:firstLine="640" w:firstLineChars="200"/>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附</w:t>
      </w:r>
      <w:r>
        <w:rPr>
          <w:rFonts w:hint="eastAsia" w:eastAsia="方正仿宋_GBK" w:cs="方正仿宋_GBK"/>
          <w:color w:val="000000" w:themeColor="text1"/>
          <w:sz w:val="32"/>
          <w:szCs w:val="32"/>
          <w:lang w:eastAsia="zh-CN"/>
          <w14:textFill>
            <w14:solidFill>
              <w14:schemeClr w14:val="tx1"/>
            </w14:solidFill>
          </w14:textFill>
        </w:rPr>
        <w:t>件</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snapToGrid w:val="0"/>
          <w:color w:val="000000" w:themeColor="text1"/>
          <w:sz w:val="32"/>
          <w:szCs w:val="32"/>
          <w14:textFill>
            <w14:solidFill>
              <w14:schemeClr w14:val="tx1"/>
            </w14:solidFill>
          </w14:textFill>
        </w:rPr>
        <w:t>1</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资源储量估算范围与矿业权范围叠合图</w:t>
      </w:r>
    </w:p>
    <w:p w14:paraId="3EEAF10F">
      <w:pPr>
        <w:overflowPunct/>
        <w:spacing w:line="600" w:lineRule="exact"/>
        <w:ind w:firstLine="1600" w:firstLineChars="500"/>
        <w:rPr>
          <w:rFonts w:hint="eastAsia" w:ascii="Times New Roman" w:hAnsi="Times New Roman" w:eastAsia="方正仿宋_GBK" w:cs="方正仿宋_GBK"/>
          <w:color w:val="000000" w:themeColor="text1"/>
          <w:spacing w:val="-6"/>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2</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pacing w:val="0"/>
          <w:sz w:val="32"/>
          <w:szCs w:val="32"/>
          <w14:textFill>
            <w14:solidFill>
              <w14:schemeClr w14:val="tx1"/>
            </w14:solidFill>
          </w14:textFill>
        </w:rPr>
        <w:t>本</w:t>
      </w:r>
      <w:r>
        <w:rPr>
          <w:rFonts w:hint="eastAsia" w:ascii="Times New Roman" w:hAnsi="Times New Roman" w:eastAsia="方正仿宋_GBK" w:cs="方正仿宋_GBK"/>
          <w:color w:val="000000" w:themeColor="text1"/>
          <w:spacing w:val="-6"/>
          <w:sz w:val="32"/>
          <w:szCs w:val="32"/>
          <w14:textFill>
            <w14:solidFill>
              <w14:schemeClr w14:val="tx1"/>
            </w14:solidFill>
          </w14:textFill>
        </w:rPr>
        <w:t>次报告与最近一次报告资源储量估算范围关系图</w:t>
      </w:r>
    </w:p>
    <w:p w14:paraId="0508EAEA">
      <w:pPr>
        <w:overflowPunct/>
        <w:spacing w:line="600" w:lineRule="exact"/>
        <w:ind w:firstLine="1600" w:firstLineChars="500"/>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3</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资源储量变化对比表</w:t>
      </w:r>
    </w:p>
    <w:p w14:paraId="752FEB6F">
      <w:pPr>
        <w:overflowPunct/>
        <w:spacing w:line="600" w:lineRule="exact"/>
        <w:ind w:firstLine="1600" w:firstLineChars="500"/>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snapToGrid w:val="0"/>
          <w:color w:val="000000" w:themeColor="text1"/>
          <w:sz w:val="32"/>
          <w:szCs w:val="32"/>
          <w14:textFill>
            <w14:solidFill>
              <w14:schemeClr w14:val="tx1"/>
            </w14:solidFill>
          </w14:textFill>
        </w:rPr>
        <w:t>4</w:t>
      </w:r>
      <w:r>
        <w:rPr>
          <w:rFonts w:hint="eastAsia" w:ascii="Times New Roman" w:hAnsi="Times New Roman" w:eastAsia="方正仿宋_GBK" w:cs="方正仿宋_GBK"/>
          <w:snapToGrid w:val="0"/>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评审专家组签名表</w:t>
      </w:r>
    </w:p>
    <w:p w14:paraId="231202B4">
      <w:pPr>
        <w:adjustRightInd w:val="0"/>
        <w:snapToGrid w:val="0"/>
        <w:spacing w:line="600" w:lineRule="exact"/>
        <w:rPr>
          <w:rFonts w:hint="default" w:ascii="Times New Roman" w:hAnsi="Times New Roman" w:eastAsia="方正黑体_GBK" w:cs="Times New Roman"/>
          <w:snapToGrid w:val="0"/>
          <w:color w:val="000000" w:themeColor="text1"/>
          <w:sz w:val="32"/>
          <w:szCs w:val="32"/>
          <w:lang w:eastAsia="zh-CN"/>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14:paraId="2243130D">
      <w:pPr>
        <w:adjustRightInd w:val="0"/>
        <w:snapToGrid w:val="0"/>
        <w:spacing w:before="120" w:after="120" w:line="600" w:lineRule="exact"/>
        <w:jc w:val="both"/>
        <w:rPr>
          <w:rFonts w:hint="default" w:eastAsia="方正黑体_GBK" w:cs="Times New Roman"/>
          <w:b w:val="0"/>
          <w:bCs/>
          <w:snapToGrid w:val="0"/>
          <w:color w:val="000000" w:themeColor="text1"/>
          <w:sz w:val="32"/>
          <w:szCs w:val="32"/>
          <w:lang w:val="en-US" w:eastAsia="zh-CN"/>
          <w14:textFill>
            <w14:solidFill>
              <w14:schemeClr w14:val="tx1"/>
            </w14:solidFill>
          </w14:textFill>
        </w:rPr>
      </w:pPr>
      <w:r>
        <w:rPr>
          <w:rFonts w:hint="default" w:eastAsia="方正黑体_GBK" w:cs="Times New Roman"/>
          <w:b w:val="0"/>
          <w:bCs/>
          <w:snapToGrid w:val="0"/>
          <w:color w:val="000000" w:themeColor="text1"/>
          <w:sz w:val="32"/>
          <w:szCs w:val="32"/>
          <w:lang w:eastAsia="zh-CN"/>
          <w14:textFill>
            <w14:solidFill>
              <w14:schemeClr w14:val="tx1"/>
            </w14:solidFill>
          </w14:textFill>
        </w:rPr>
        <w:t>附件</w:t>
      </w:r>
      <w:r>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t>3</w:t>
      </w:r>
      <w:r>
        <w:rPr>
          <w:rFonts w:hint="default" w:eastAsia="方正黑体_GBK" w:cs="Times New Roman"/>
          <w:b w:val="0"/>
          <w:bCs/>
          <w:snapToGrid w:val="0"/>
          <w:color w:val="000000" w:themeColor="text1"/>
          <w:sz w:val="32"/>
          <w:szCs w:val="32"/>
          <w:lang w:val="en-US" w:eastAsia="zh-CN"/>
          <w14:textFill>
            <w14:solidFill>
              <w14:schemeClr w14:val="tx1"/>
            </w14:solidFill>
          </w14:textFill>
        </w:rPr>
        <w:t>-1</w:t>
      </w:r>
    </w:p>
    <w:p w14:paraId="19ACA2F6">
      <w:pPr>
        <w:adjustRightInd w:val="0"/>
        <w:snapToGrid w:val="0"/>
        <w:spacing w:before="120" w:after="120" w:line="60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p>
    <w:p w14:paraId="461B0B90">
      <w:pPr>
        <w:adjustRightInd w:val="0"/>
        <w:snapToGrid w:val="0"/>
        <w:spacing w:before="120" w:after="120" w:line="60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t>资源储量估算范围与矿业权范围叠合图</w:t>
      </w:r>
    </w:p>
    <w:p w14:paraId="0AFB7ED2">
      <w:pPr>
        <w:spacing w:line="360" w:lineRule="exact"/>
        <w:ind w:firstLine="880" w:firstLineChars="200"/>
        <w:rPr>
          <w:rFonts w:hint="eastAsia" w:ascii="Times New Roman" w:hAnsi="Times New Roman" w:eastAsia="方正仿宋_GBK" w:cs="方正仿宋_GBK"/>
          <w:b/>
          <w:color w:val="000000" w:themeColor="text1"/>
          <w:szCs w:val="21"/>
          <w14:textFill>
            <w14:solidFill>
              <w14:schemeClr w14:val="tx1"/>
            </w14:solidFill>
          </w14:textFill>
        </w:rPr>
      </w:pP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mc:AlternateContent>
          <mc:Choice Requires="wps">
            <w:drawing>
              <wp:anchor distT="45720" distB="45720" distL="114300" distR="114300" simplePos="0" relativeHeight="251659264" behindDoc="0" locked="0" layoutInCell="1" allowOverlap="1">
                <wp:simplePos x="0" y="0"/>
                <wp:positionH relativeFrom="column">
                  <wp:posOffset>191770</wp:posOffset>
                </wp:positionH>
                <wp:positionV relativeFrom="paragraph">
                  <wp:posOffset>154940</wp:posOffset>
                </wp:positionV>
                <wp:extent cx="5241290" cy="3635375"/>
                <wp:effectExtent l="4445" t="5080" r="12065" b="17145"/>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5241290" cy="3635375"/>
                        </a:xfrm>
                        <a:prstGeom prst="rect">
                          <a:avLst/>
                        </a:prstGeom>
                        <a:solidFill>
                          <a:srgbClr val="FFFFFF"/>
                        </a:solidFill>
                        <a:ln w="9525">
                          <a:solidFill>
                            <a:srgbClr val="000000"/>
                          </a:solidFill>
                          <a:miter lim="800000"/>
                        </a:ln>
                        <a:effectLst/>
                      </wps:spPr>
                      <wps:txbx>
                        <w:txbxContent>
                          <w:p w14:paraId="3A0F3DD9">
                            <w:pPr>
                              <w:jc w:val="center"/>
                            </w:pPr>
                            <w:r>
                              <w:drawing>
                                <wp:inline distT="0" distB="0" distL="114300" distR="114300">
                                  <wp:extent cx="2540635" cy="2915920"/>
                                  <wp:effectExtent l="0" t="0" r="12065" b="1778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srcRect l="3664" t="7690" r="44620" b="23071"/>
                                          <a:stretch>
                                            <a:fillRect/>
                                          </a:stretch>
                                        </pic:blipFill>
                                        <pic:spPr>
                                          <a:xfrm>
                                            <a:off x="0" y="0"/>
                                            <a:ext cx="2540635" cy="2915920"/>
                                          </a:xfrm>
                                          <a:prstGeom prst="rect">
                                            <a:avLst/>
                                          </a:prstGeom>
                                          <a:noFill/>
                                          <a:ln>
                                            <a:noFill/>
                                          </a:ln>
                                        </pic:spPr>
                                      </pic:pic>
                                    </a:graphicData>
                                  </a:graphic>
                                </wp:inline>
                              </w:drawing>
                            </w:r>
                            <w:r>
                              <w:rPr>
                                <w:rFonts w:hint="eastAsia"/>
                                <w:b/>
                                <w:sz w:val="28"/>
                                <w:szCs w:val="28"/>
                              </w:rPr>
                              <w:drawing>
                                <wp:inline distT="0" distB="0" distL="114300" distR="114300">
                                  <wp:extent cx="4686300" cy="423545"/>
                                  <wp:effectExtent l="19050" t="0" r="19050" b="33655"/>
                                  <wp:docPr id="29" name="图片 11" descr="叠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叠合图"/>
                                          <pic:cNvPicPr>
                                            <a:picLocks noChangeAspect="1"/>
                                          </pic:cNvPicPr>
                                        </pic:nvPicPr>
                                        <pic:blipFill>
                                          <a:blip r:embed="rId13"/>
                                          <a:srcRect l="6146" t="83430" r="809" b="3467"/>
                                          <a:stretch>
                                            <a:fillRect/>
                                          </a:stretch>
                                        </pic:blipFill>
                                        <pic:spPr>
                                          <a:xfrm>
                                            <a:off x="0" y="0"/>
                                            <a:ext cx="4686300" cy="423545"/>
                                          </a:xfrm>
                                          <a:prstGeom prst="rect">
                                            <a:avLst/>
                                          </a:prstGeom>
                                          <a:noFill/>
                                          <a:ln w="19050" cap="flat" cmpd="sng">
                                            <a:solidFill>
                                              <a:srgbClr val="FFFFFF"/>
                                            </a:solidFill>
                                            <a:prstDash val="solid"/>
                                            <a:miter/>
                                            <a:headEnd type="none" w="med" len="med"/>
                                            <a:tailEnd type="none" w="med" len="med"/>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1pt;margin-top:12.2pt;height:286.25pt;width:412.7pt;z-index:251659264;mso-width-relative:page;mso-height-relative:page;" fillcolor="#FFFFFF" filled="t" stroked="t" coordsize="21600,21600" o:gfxdata="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bJ1Y2QAAAAkBAAAPAAAAAAAAAAEAIAAA&#10;ACIAAABkcnMvZG93bnJldi54bWxQSwECFAAUAAAACACHTuJAO3Z6qUQCAACMBAAADgAAAAAAAAAB&#10;ACAAAAAoAQAAZHJzL2Uyb0RvYy54bWxQSwUGAAAAAAYABgBZAQAA3gUAAAAA&#10;">
                <v:fill on="t" focussize="0,0"/>
                <v:stroke color="#000000" miterlimit="8" joinstyle="miter"/>
                <v:imagedata o:title=""/>
                <o:lock v:ext="edit" aspectratio="f"/>
                <v:textbox>
                  <w:txbxContent>
                    <w:p w14:paraId="3A0F3DD9">
                      <w:pPr>
                        <w:jc w:val="center"/>
                      </w:pPr>
                      <w:r>
                        <w:drawing>
                          <wp:inline distT="0" distB="0" distL="114300" distR="114300">
                            <wp:extent cx="2540635" cy="2915920"/>
                            <wp:effectExtent l="0" t="0" r="12065" b="1778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2"/>
                                    <a:srcRect l="3664" t="7690" r="44620" b="23071"/>
                                    <a:stretch>
                                      <a:fillRect/>
                                    </a:stretch>
                                  </pic:blipFill>
                                  <pic:spPr>
                                    <a:xfrm>
                                      <a:off x="0" y="0"/>
                                      <a:ext cx="2540635" cy="2915920"/>
                                    </a:xfrm>
                                    <a:prstGeom prst="rect">
                                      <a:avLst/>
                                    </a:prstGeom>
                                    <a:noFill/>
                                    <a:ln>
                                      <a:noFill/>
                                    </a:ln>
                                  </pic:spPr>
                                </pic:pic>
                              </a:graphicData>
                            </a:graphic>
                          </wp:inline>
                        </w:drawing>
                      </w:r>
                      <w:r>
                        <w:rPr>
                          <w:rFonts w:hint="eastAsia"/>
                          <w:b/>
                          <w:sz w:val="28"/>
                          <w:szCs w:val="28"/>
                        </w:rPr>
                        <w:drawing>
                          <wp:inline distT="0" distB="0" distL="114300" distR="114300">
                            <wp:extent cx="4686300" cy="423545"/>
                            <wp:effectExtent l="19050" t="0" r="19050" b="33655"/>
                            <wp:docPr id="29" name="图片 11" descr="叠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叠合图"/>
                                    <pic:cNvPicPr>
                                      <a:picLocks noChangeAspect="1"/>
                                    </pic:cNvPicPr>
                                  </pic:nvPicPr>
                                  <pic:blipFill>
                                    <a:blip r:embed="rId13"/>
                                    <a:srcRect l="6146" t="83430" r="809" b="3467"/>
                                    <a:stretch>
                                      <a:fillRect/>
                                    </a:stretch>
                                  </pic:blipFill>
                                  <pic:spPr>
                                    <a:xfrm>
                                      <a:off x="0" y="0"/>
                                      <a:ext cx="4686300" cy="423545"/>
                                    </a:xfrm>
                                    <a:prstGeom prst="rect">
                                      <a:avLst/>
                                    </a:prstGeom>
                                    <a:noFill/>
                                    <a:ln w="19050" cap="flat" cmpd="sng">
                                      <a:solidFill>
                                        <a:srgbClr val="FFFFFF"/>
                                      </a:solidFill>
                                      <a:prstDash val="solid"/>
                                      <a:miter/>
                                      <a:headEnd type="none" w="med" len="med"/>
                                      <a:tailEnd type="none" w="med" len="med"/>
                                    </a:ln>
                                  </pic:spPr>
                                </pic:pic>
                              </a:graphicData>
                            </a:graphic>
                          </wp:inline>
                        </w:drawing>
                      </w:r>
                    </w:p>
                  </w:txbxContent>
                </v:textbox>
              </v:shape>
            </w:pict>
          </mc:Fallback>
        </mc:AlternateContent>
      </w:r>
    </w:p>
    <w:p w14:paraId="214F4413">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3D8566FC">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37709097">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7FE44F73">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4BFBCC1D">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354257DB">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53D98007">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09CDE9BE">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60B38C86">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54513D48">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48967CAC">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73D69558">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1671F438">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11B6EDA9">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7FC41032">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37B6A76C">
      <w:pPr>
        <w:spacing w:line="360" w:lineRule="exact"/>
        <w:ind w:firstLine="422" w:firstLineChars="200"/>
        <w:rPr>
          <w:rFonts w:hint="eastAsia" w:ascii="Times New Roman" w:hAnsi="Times New Roman" w:eastAsia="方正仿宋_GBK" w:cs="方正仿宋_GBK"/>
          <w:b/>
          <w:color w:val="000000" w:themeColor="text1"/>
          <w:szCs w:val="21"/>
          <w14:textFill>
            <w14:solidFill>
              <w14:schemeClr w14:val="tx1"/>
            </w14:solidFill>
          </w14:textFill>
        </w:rPr>
      </w:pPr>
    </w:p>
    <w:p w14:paraId="3B29787B">
      <w:pPr>
        <w:spacing w:line="360" w:lineRule="exact"/>
        <w:ind w:firstLine="422" w:firstLineChars="200"/>
        <w:rPr>
          <w:rFonts w:hint="eastAsia" w:ascii="Times New Roman" w:hAnsi="Times New Roman" w:eastAsia="方正仿宋_GBK" w:cs="方正仿宋_GBK"/>
          <w:color w:val="000000" w:themeColor="text1"/>
          <w:szCs w:val="21"/>
          <w14:textFill>
            <w14:solidFill>
              <w14:schemeClr w14:val="tx1"/>
            </w14:solidFill>
          </w14:textFill>
        </w:rPr>
      </w:pPr>
      <w:r>
        <w:rPr>
          <w:rFonts w:hint="eastAsia" w:ascii="Times New Roman" w:hAnsi="Times New Roman" w:eastAsia="方正仿宋_GBK" w:cs="方正仿宋_GBK"/>
          <w:b/>
          <w:color w:val="000000" w:themeColor="text1"/>
          <w:szCs w:val="21"/>
          <w14:textFill>
            <w14:solidFill>
              <w14:schemeClr w14:val="tx1"/>
            </w14:solidFill>
          </w14:textFill>
        </w:rPr>
        <w:t>说明：</w:t>
      </w:r>
      <w:r>
        <w:rPr>
          <w:rFonts w:hint="eastAsia" w:ascii="Times New Roman" w:hAnsi="Times New Roman" w:eastAsia="方正仿宋_GBK" w:cs="方正仿宋_GBK"/>
          <w:color w:val="000000" w:themeColor="text1"/>
          <w:szCs w:val="21"/>
          <w14:textFill>
            <w14:solidFill>
              <w14:schemeClr w14:val="tx1"/>
            </w14:solidFill>
          </w14:textFill>
        </w:rPr>
        <w:t>1.矿业权范围包括勘查许可范围、采矿许可范围等，应根据具体情况确定。</w:t>
      </w:r>
    </w:p>
    <w:p w14:paraId="4C7E9E66">
      <w:pPr>
        <w:spacing w:line="360" w:lineRule="exact"/>
        <w:ind w:left="1260" w:leftChars="500" w:hanging="210" w:hangingChars="100"/>
        <w:rPr>
          <w:rFonts w:hint="eastAsia" w:ascii="Times New Roman" w:hAnsi="Times New Roman" w:eastAsia="方正仿宋_GBK" w:cs="方正仿宋_GBK"/>
          <w:color w:val="000000" w:themeColor="text1"/>
          <w:szCs w:val="21"/>
          <w14:textFill>
            <w14:solidFill>
              <w14:schemeClr w14:val="tx1"/>
            </w14:solidFill>
          </w14:textFill>
        </w:rPr>
      </w:pPr>
      <w:r>
        <w:rPr>
          <w:rFonts w:hint="eastAsia" w:ascii="Times New Roman" w:hAnsi="Times New Roman" w:eastAsia="方正仿宋_GBK" w:cs="方正仿宋_GBK"/>
          <w:color w:val="000000" w:themeColor="text1"/>
          <w:szCs w:val="21"/>
          <w14:textFill>
            <w14:solidFill>
              <w14:schemeClr w14:val="tx1"/>
            </w14:solidFill>
          </w14:textFill>
        </w:rPr>
        <w:t>2.该图目的是为了</w:t>
      </w:r>
      <w:r>
        <w:rPr>
          <w:rFonts w:hint="eastAsia" w:ascii="Times New Roman" w:hAnsi="Times New Roman" w:eastAsia="方正仿宋_GBK" w:cs="方正仿宋_GBK"/>
          <w:color w:val="000000" w:themeColor="text1"/>
          <w:szCs w:val="21"/>
          <w:lang w:eastAsia="zh-CN"/>
          <w14:textFill>
            <w14:solidFill>
              <w14:schemeClr w14:val="tx1"/>
            </w14:solidFill>
          </w14:textFill>
        </w:rPr>
        <w:t>展示</w:t>
      </w:r>
      <w:r>
        <w:rPr>
          <w:rFonts w:hint="eastAsia" w:ascii="Times New Roman" w:hAnsi="Times New Roman" w:eastAsia="方正仿宋_GBK" w:cs="方正仿宋_GBK"/>
          <w:color w:val="000000" w:themeColor="text1"/>
          <w:szCs w:val="21"/>
          <w14:textFill>
            <w14:solidFill>
              <w14:schemeClr w14:val="tx1"/>
            </w14:solidFill>
          </w14:textFill>
        </w:rPr>
        <w:t>资源储量估算范围是否在矿业权范围内，反映资源储量实际赋存范围，为评审意见书的内容。由于评审意见书印刷为黑白色，为清晰反映有关内容，增加可读性，应用不同方向的线条等易于在黑白图上区分的标志反映不同的范围；图上应避免增加与反映的内容无关的内容；涉及扣除范围等“天窗”时，还需增加必要的剖面图。</w:t>
      </w:r>
    </w:p>
    <w:p w14:paraId="3FA79C99">
      <w:pPr>
        <w:spacing w:line="360" w:lineRule="exact"/>
        <w:ind w:firstLine="1050" w:firstLineChars="500"/>
        <w:rPr>
          <w:rFonts w:hint="eastAsia" w:ascii="Times New Roman" w:hAnsi="Times New Roman" w:eastAsia="方正仿宋_GBK" w:cs="方正仿宋_GBK"/>
          <w:b/>
          <w:color w:val="000000" w:themeColor="text1"/>
          <w:sz w:val="28"/>
          <w:szCs w:val="28"/>
          <w14:textFill>
            <w14:solidFill>
              <w14:schemeClr w14:val="tx1"/>
            </w14:solidFill>
          </w14:textFill>
        </w:rPr>
      </w:pPr>
      <w:r>
        <w:rPr>
          <w:rFonts w:hint="eastAsia" w:ascii="Times New Roman" w:hAnsi="Times New Roman" w:eastAsia="方正仿宋_GBK" w:cs="方正仿宋_GBK"/>
          <w:color w:val="000000" w:themeColor="text1"/>
          <w:szCs w:val="21"/>
          <w14:textFill>
            <w14:solidFill>
              <w14:schemeClr w14:val="tx1"/>
            </w14:solidFill>
          </w14:textFill>
        </w:rPr>
        <w:t>3.本图为示意图，实际工作中应根据具体情况调整。</w:t>
      </w:r>
    </w:p>
    <w:p w14:paraId="15E23F47">
      <w:pPr>
        <w:adjustRightInd w:val="0"/>
        <w:snapToGrid w:val="0"/>
        <w:spacing w:line="560" w:lineRule="exact"/>
        <w:jc w:val="center"/>
        <w:rPr>
          <w:rFonts w:ascii="Times New Roman" w:hAnsi="Times New Roman" w:eastAsia="黑体" w:cs="Times New Roman"/>
          <w:snapToGrid w:val="0"/>
          <w:color w:val="000000" w:themeColor="text1"/>
          <w:sz w:val="32"/>
          <w:szCs w:val="32"/>
          <w14:textFill>
            <w14:solidFill>
              <w14:schemeClr w14:val="tx1"/>
            </w14:solidFill>
          </w14:textFill>
        </w:rPr>
      </w:pPr>
    </w:p>
    <w:p w14:paraId="2F874D7A">
      <w:pPr>
        <w:rPr>
          <w:rFonts w:ascii="Times New Roman" w:hAnsi="Times New Roman" w:eastAsia="黑体" w:cs="Times New Roman"/>
          <w:snapToGrid w:val="0"/>
          <w:color w:val="000000" w:themeColor="text1"/>
          <w:sz w:val="32"/>
          <w:szCs w:val="32"/>
          <w14:textFill>
            <w14:solidFill>
              <w14:schemeClr w14:val="tx1"/>
            </w14:solidFill>
          </w14:textFill>
        </w:rPr>
      </w:pPr>
      <w:r>
        <w:rPr>
          <w:rFonts w:ascii="Times New Roman" w:hAnsi="Times New Roman" w:eastAsia="黑体" w:cs="Times New Roman"/>
          <w:snapToGrid w:val="0"/>
          <w:color w:val="000000" w:themeColor="text1"/>
          <w:sz w:val="32"/>
          <w:szCs w:val="32"/>
          <w14:textFill>
            <w14:solidFill>
              <w14:schemeClr w14:val="tx1"/>
            </w14:solidFill>
          </w14:textFill>
        </w:rPr>
        <w:br w:type="page"/>
      </w:r>
    </w:p>
    <w:p w14:paraId="67DD1386">
      <w:pPr>
        <w:adjustRightInd w:val="0"/>
        <w:snapToGrid w:val="0"/>
        <w:spacing w:before="120" w:after="120" w:line="600" w:lineRule="exact"/>
        <w:jc w:val="both"/>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b w:val="0"/>
          <w:bCs/>
          <w:snapToGrid w:val="0"/>
          <w:color w:val="000000" w:themeColor="text1"/>
          <w:sz w:val="32"/>
          <w:szCs w:val="32"/>
          <w:lang w:eastAsia="zh-CN"/>
          <w14:textFill>
            <w14:solidFill>
              <w14:schemeClr w14:val="tx1"/>
            </w14:solidFill>
          </w14:textFill>
        </w:rPr>
        <w:t>附件</w:t>
      </w:r>
      <w:r>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t>3-2</w:t>
      </w:r>
    </w:p>
    <w:p w14:paraId="317D40F6">
      <w:pPr>
        <w:rPr>
          <w:rFonts w:hint="default" w:ascii="Times New Roman" w:hAnsi="Times New Roman" w:eastAsia="方正黑体_GBK" w:cs="Times New Roman"/>
          <w:color w:val="000000" w:themeColor="text1"/>
          <w:sz w:val="32"/>
          <w:szCs w:val="32"/>
          <w14:textFill>
            <w14:solidFill>
              <w14:schemeClr w14:val="tx1"/>
            </w14:solidFill>
          </w14:textFill>
        </w:rPr>
      </w:pPr>
    </w:p>
    <w:p w14:paraId="3076494E">
      <w:pPr>
        <w:adjustRightInd w:val="0"/>
        <w:snapToGrid w:val="0"/>
        <w:spacing w:before="120" w:after="120" w:line="60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r>
        <w:rPr>
          <w:rFonts w:hint="eastAsia" w:ascii="Times New Roman" w:hAnsi="Times New Roman" w:eastAsia="方正小标宋_GBK" w:cs="Times New Roman"/>
          <w:b w:val="0"/>
          <w:bCs/>
          <w:snapToGrid w:val="0"/>
          <w:color w:val="000000" w:themeColor="text1"/>
          <w:sz w:val="44"/>
          <w:szCs w:val="44"/>
          <w:lang w:eastAsia="zh-CN"/>
          <w14:textFill>
            <w14:solidFill>
              <w14:schemeClr w14:val="tx1"/>
            </w14:solidFill>
          </w14:textFill>
        </w:rPr>
        <w:t>本次</w:t>
      </w: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t>与最近一次报告资源储量估算范围</w:t>
      </w:r>
    </w:p>
    <w:p w14:paraId="4BFF79AA">
      <w:pPr>
        <w:adjustRightInd w:val="0"/>
        <w:snapToGrid w:val="0"/>
        <w:spacing w:before="120" w:after="120" w:line="60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t>关系图</w:t>
      </w:r>
    </w:p>
    <w:p w14:paraId="0B5C8C91">
      <w:pPr>
        <w:jc w:val="center"/>
        <w:rPr>
          <w:rFonts w:ascii="Times New Roman" w:hAnsi="Times New Roman" w:eastAsia="黑体" w:cs="Times New Roman"/>
          <w:snapToGrid w:val="0"/>
          <w:color w:val="000000" w:themeColor="text1"/>
          <w:sz w:val="32"/>
          <w:szCs w:val="32"/>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drawing>
          <wp:inline distT="0" distB="0" distL="114300" distR="114300">
            <wp:extent cx="4859020" cy="3207385"/>
            <wp:effectExtent l="9525" t="9525" r="27305" b="21590"/>
            <wp:docPr id="30" name="图片 26" descr="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关系图"/>
                    <pic:cNvPicPr>
                      <a:picLocks noChangeAspect="1"/>
                    </pic:cNvPicPr>
                  </pic:nvPicPr>
                  <pic:blipFill>
                    <a:blip r:embed="rId14"/>
                    <a:stretch>
                      <a:fillRect/>
                    </a:stretch>
                  </pic:blipFill>
                  <pic:spPr>
                    <a:xfrm>
                      <a:off x="0" y="0"/>
                      <a:ext cx="4859020" cy="3207385"/>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29CDA8FD">
      <w:pPr>
        <w:spacing w:line="360" w:lineRule="exact"/>
        <w:ind w:left="1031" w:leftChars="190" w:hanging="632" w:hangingChars="300"/>
        <w:rPr>
          <w:rFonts w:ascii="Times New Roman" w:hAnsi="Times New Roman" w:eastAsia="仿宋_GB2312" w:cs="Times New Roman"/>
          <w:snapToGrid w:val="0"/>
          <w:color w:val="000000" w:themeColor="text1"/>
          <w:szCs w:val="21"/>
          <w14:textFill>
            <w14:solidFill>
              <w14:schemeClr w14:val="tx1"/>
            </w14:solidFill>
          </w14:textFill>
        </w:rPr>
      </w:pPr>
      <w:r>
        <w:rPr>
          <w:rFonts w:ascii="Times New Roman" w:hAnsi="Times New Roman" w:eastAsia="仿宋_GB2312" w:cs="Times New Roman"/>
          <w:b/>
          <w:color w:val="000000" w:themeColor="text1"/>
          <w:szCs w:val="21"/>
          <w14:textFill>
            <w14:solidFill>
              <w14:schemeClr w14:val="tx1"/>
            </w14:solidFill>
          </w14:textFill>
        </w:rPr>
        <w:t>说明：</w:t>
      </w:r>
      <w:r>
        <w:rPr>
          <w:rFonts w:hint="eastAsia" w:ascii="Times New Roman" w:hAnsi="Times New Roman" w:eastAsia="方正仿宋_GBK" w:cs="方正仿宋_GBK"/>
          <w:color w:val="000000" w:themeColor="text1"/>
          <w:szCs w:val="21"/>
          <w14:textFill>
            <w14:solidFill>
              <w14:schemeClr w14:val="tx1"/>
            </w14:solidFill>
          </w14:textFill>
        </w:rPr>
        <w:t>该图为评审意见书的内容，由于评审意见书印刷为黑白色，为清晰反映有关内容，增加可读性，应</w:t>
      </w:r>
      <w:r>
        <w:rPr>
          <w:rFonts w:hint="eastAsia" w:eastAsia="方正仿宋_GBK" w:cs="方正仿宋_GBK"/>
          <w:color w:val="000000" w:themeColor="text1"/>
          <w:szCs w:val="21"/>
          <w:lang w:eastAsia="zh-CN"/>
          <w14:textFill>
            <w14:solidFill>
              <w14:schemeClr w14:val="tx1"/>
            </w14:solidFill>
          </w14:textFill>
        </w:rPr>
        <w:t>当</w:t>
      </w:r>
      <w:r>
        <w:rPr>
          <w:rFonts w:hint="eastAsia" w:ascii="Times New Roman" w:hAnsi="Times New Roman" w:eastAsia="方正仿宋_GBK" w:cs="方正仿宋_GBK"/>
          <w:color w:val="000000" w:themeColor="text1"/>
          <w:szCs w:val="21"/>
          <w14:textFill>
            <w14:solidFill>
              <w14:schemeClr w14:val="tx1"/>
            </w14:solidFill>
          </w14:textFill>
        </w:rPr>
        <w:t>用不同方向的线条等易于在黑白图上区分的标志反映不同的范围；图上应避免增加与反映的内容无关的内容；本图为示意图，实际工作中应根据具体情况调整。</w:t>
      </w:r>
    </w:p>
    <w:p w14:paraId="47F9C377">
      <w:pPr>
        <w:rPr>
          <w:rFonts w:ascii="Times New Roman" w:hAnsi="Times New Roman" w:eastAsia="黑体" w:cs="Times New Roman"/>
          <w:snapToGrid w:val="0"/>
          <w:color w:val="000000" w:themeColor="text1"/>
          <w:sz w:val="32"/>
          <w:szCs w:val="32"/>
          <w14:textFill>
            <w14:solidFill>
              <w14:schemeClr w14:val="tx1"/>
            </w14:solidFill>
          </w14:textFill>
        </w:rPr>
      </w:pPr>
    </w:p>
    <w:p w14:paraId="6ABEFC5C">
      <w:pPr>
        <w:rPr>
          <w:rFonts w:ascii="Times New Roman" w:hAnsi="Times New Roman" w:eastAsia="黑体" w:cs="Times New Roman"/>
          <w:snapToGrid w:val="0"/>
          <w:color w:val="000000" w:themeColor="text1"/>
          <w:sz w:val="32"/>
          <w:szCs w:val="32"/>
          <w14:textFill>
            <w14:solidFill>
              <w14:schemeClr w14:val="tx1"/>
            </w14:solidFill>
          </w14:textFill>
        </w:rPr>
      </w:pPr>
      <w:r>
        <w:rPr>
          <w:rFonts w:ascii="Times New Roman" w:hAnsi="Times New Roman" w:eastAsia="黑体" w:cs="Times New Roman"/>
          <w:snapToGrid w:val="0"/>
          <w:color w:val="000000" w:themeColor="text1"/>
          <w:sz w:val="32"/>
          <w:szCs w:val="32"/>
          <w14:textFill>
            <w14:solidFill>
              <w14:schemeClr w14:val="tx1"/>
            </w14:solidFill>
          </w14:textFill>
        </w:rPr>
        <w:br w:type="page"/>
      </w:r>
    </w:p>
    <w:p w14:paraId="0D6BABCC">
      <w:pPr>
        <w:adjustRightInd w:val="0"/>
        <w:snapToGrid w:val="0"/>
        <w:spacing w:before="120" w:after="120" w:line="600" w:lineRule="exact"/>
        <w:jc w:val="both"/>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b w:val="0"/>
          <w:bCs/>
          <w:snapToGrid w:val="0"/>
          <w:color w:val="000000" w:themeColor="text1"/>
          <w:sz w:val="32"/>
          <w:szCs w:val="32"/>
          <w:lang w:eastAsia="zh-CN"/>
          <w14:textFill>
            <w14:solidFill>
              <w14:schemeClr w14:val="tx1"/>
            </w14:solidFill>
          </w14:textFill>
        </w:rPr>
        <w:t>附件</w:t>
      </w:r>
      <w:r>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t>3-3</w:t>
      </w:r>
    </w:p>
    <w:p w14:paraId="4A456596">
      <w:pPr>
        <w:rPr>
          <w:rFonts w:hint="default" w:ascii="Times New Roman" w:hAnsi="Times New Roman" w:eastAsia="方正黑体_GBK" w:cs="Times New Roman"/>
          <w:snapToGrid w:val="0"/>
          <w:color w:val="000000" w:themeColor="text1"/>
          <w:sz w:val="32"/>
          <w:szCs w:val="32"/>
          <w:lang w:eastAsia="zh-CN"/>
          <w14:textFill>
            <w14:solidFill>
              <w14:schemeClr w14:val="tx1"/>
            </w14:solidFill>
          </w14:textFill>
        </w:rPr>
      </w:pPr>
    </w:p>
    <w:p w14:paraId="00EF769C">
      <w:pPr>
        <w:adjustRightInd w:val="0"/>
        <w:snapToGrid w:val="0"/>
        <w:spacing w:before="120" w:after="120" w:line="60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t>资源量变化对比表</w:t>
      </w:r>
    </w:p>
    <w:tbl>
      <w:tblPr>
        <w:tblStyle w:val="11"/>
        <w:tblW w:w="9132" w:type="dxa"/>
        <w:jc w:val="center"/>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0"/>
        <w:gridCol w:w="1500"/>
        <w:gridCol w:w="122"/>
        <w:gridCol w:w="1624"/>
        <w:gridCol w:w="241"/>
        <w:gridCol w:w="1111"/>
        <w:gridCol w:w="240"/>
        <w:gridCol w:w="1170"/>
        <w:gridCol w:w="1297"/>
        <w:gridCol w:w="1343"/>
        <w:gridCol w:w="14"/>
      </w:tblGrid>
      <w:tr w14:paraId="51C6188C">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gridAfter w:val="1"/>
          <w:wAfter w:w="14" w:type="dxa"/>
          <w:cantSplit/>
          <w:trHeight w:val="340" w:hRule="exact"/>
          <w:jc w:val="center"/>
        </w:trPr>
        <w:tc>
          <w:tcPr>
            <w:tcW w:w="1970" w:type="dxa"/>
            <w:gridSpan w:val="2"/>
            <w:vAlign w:val="center"/>
          </w:tcPr>
          <w:p w14:paraId="0D1A766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最近一次报告名称</w:t>
            </w:r>
          </w:p>
        </w:tc>
        <w:tc>
          <w:tcPr>
            <w:tcW w:w="1987" w:type="dxa"/>
            <w:gridSpan w:val="3"/>
            <w:tcBorders>
              <w:right w:val="single" w:color="auto" w:sz="4" w:space="0"/>
            </w:tcBorders>
            <w:vAlign w:val="center"/>
          </w:tcPr>
          <w:p w14:paraId="07B1712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1" w:type="dxa"/>
            <w:gridSpan w:val="2"/>
            <w:tcBorders>
              <w:left w:val="single" w:color="auto" w:sz="4" w:space="0"/>
              <w:right w:val="single" w:color="auto" w:sz="4" w:space="0"/>
            </w:tcBorders>
            <w:vAlign w:val="center"/>
          </w:tcPr>
          <w:p w14:paraId="0F22175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备案机关</w:t>
            </w:r>
          </w:p>
        </w:tc>
        <w:tc>
          <w:tcPr>
            <w:tcW w:w="1170" w:type="dxa"/>
            <w:tcBorders>
              <w:left w:val="single" w:color="auto" w:sz="4" w:space="0"/>
            </w:tcBorders>
            <w:vAlign w:val="center"/>
          </w:tcPr>
          <w:p w14:paraId="602B679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tcBorders>
              <w:right w:val="single" w:color="auto" w:sz="4" w:space="0"/>
            </w:tcBorders>
            <w:vAlign w:val="center"/>
          </w:tcPr>
          <w:p w14:paraId="16899FA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备案文号</w:t>
            </w:r>
          </w:p>
        </w:tc>
        <w:tc>
          <w:tcPr>
            <w:tcW w:w="1343" w:type="dxa"/>
            <w:tcBorders>
              <w:right w:val="single" w:color="auto" w:sz="4" w:space="0"/>
            </w:tcBorders>
            <w:vAlign w:val="center"/>
          </w:tcPr>
          <w:p w14:paraId="39BAE6D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256A15E5">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3716" w:type="dxa"/>
            <w:gridSpan w:val="4"/>
            <w:vMerge w:val="restart"/>
            <w:tcBorders>
              <w:right w:val="single" w:color="auto" w:sz="4" w:space="0"/>
            </w:tcBorders>
            <w:vAlign w:val="center"/>
          </w:tcPr>
          <w:p w14:paraId="6CCED24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项       目</w:t>
            </w:r>
          </w:p>
        </w:tc>
        <w:tc>
          <w:tcPr>
            <w:tcW w:w="5416" w:type="dxa"/>
            <w:gridSpan w:val="7"/>
            <w:tcBorders>
              <w:right w:val="single" w:color="auto" w:sz="4" w:space="0"/>
            </w:tcBorders>
            <w:vAlign w:val="center"/>
          </w:tcPr>
          <w:p w14:paraId="7D86674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hint="eastAsia" w:eastAsia="仿宋" w:cs="Times New Roman"/>
                <w:snapToGrid w:val="0"/>
                <w:color w:val="000000" w:themeColor="text1"/>
                <w:sz w:val="21"/>
                <w:szCs w:val="21"/>
                <w:lang w:eastAsia="zh-CN"/>
                <w14:textFill>
                  <w14:solidFill>
                    <w14:schemeClr w14:val="tx1"/>
                  </w14:solidFill>
                </w14:textFill>
              </w:rPr>
              <w:t>××</w:t>
            </w:r>
            <w:r>
              <w:rPr>
                <w:rFonts w:ascii="Times New Roman" w:hAnsi="Times New Roman" w:eastAsia="仿宋" w:cs="Times New Roman"/>
                <w:snapToGrid w:val="0"/>
                <w:color w:val="000000" w:themeColor="text1"/>
                <w:sz w:val="21"/>
                <w:szCs w:val="21"/>
                <w14:textFill>
                  <w14:solidFill>
                    <w14:schemeClr w14:val="tx1"/>
                  </w14:solidFill>
                </w14:textFill>
              </w:rPr>
              <w:t>矿</w:t>
            </w:r>
          </w:p>
        </w:tc>
      </w:tr>
      <w:tr w14:paraId="32DC791B">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3716" w:type="dxa"/>
            <w:gridSpan w:val="4"/>
            <w:vMerge w:val="continue"/>
            <w:tcBorders>
              <w:right w:val="single" w:color="auto" w:sz="4" w:space="0"/>
            </w:tcBorders>
            <w:vAlign w:val="center"/>
          </w:tcPr>
          <w:p w14:paraId="660FCAF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5416" w:type="dxa"/>
            <w:gridSpan w:val="7"/>
            <w:tcBorders>
              <w:right w:val="single" w:color="auto" w:sz="4" w:space="0"/>
            </w:tcBorders>
            <w:vAlign w:val="center"/>
          </w:tcPr>
          <w:p w14:paraId="20BA57C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资源量</w:t>
            </w:r>
          </w:p>
        </w:tc>
      </w:tr>
      <w:tr w14:paraId="269B91C9">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3716" w:type="dxa"/>
            <w:gridSpan w:val="4"/>
            <w:vMerge w:val="continue"/>
            <w:tcBorders>
              <w:right w:val="single" w:color="auto" w:sz="4" w:space="0"/>
            </w:tcBorders>
            <w:vAlign w:val="center"/>
          </w:tcPr>
          <w:p w14:paraId="09E6BBF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left w:val="single" w:color="auto" w:sz="4" w:space="0"/>
              <w:right w:val="single" w:color="auto" w:sz="4" w:space="0"/>
            </w:tcBorders>
            <w:vAlign w:val="center"/>
          </w:tcPr>
          <w:p w14:paraId="5102E09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探明资源量</w:t>
            </w:r>
          </w:p>
        </w:tc>
        <w:tc>
          <w:tcPr>
            <w:tcW w:w="1410" w:type="dxa"/>
            <w:gridSpan w:val="2"/>
            <w:tcBorders>
              <w:right w:val="single" w:color="auto" w:sz="4" w:space="0"/>
            </w:tcBorders>
            <w:vAlign w:val="center"/>
          </w:tcPr>
          <w:p w14:paraId="1DC7E6F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控制资源量</w:t>
            </w:r>
          </w:p>
        </w:tc>
        <w:tc>
          <w:tcPr>
            <w:tcW w:w="1297" w:type="dxa"/>
            <w:vAlign w:val="center"/>
          </w:tcPr>
          <w:p w14:paraId="15D6938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推断资源量</w:t>
            </w:r>
          </w:p>
        </w:tc>
        <w:tc>
          <w:tcPr>
            <w:tcW w:w="1357" w:type="dxa"/>
            <w:gridSpan w:val="2"/>
            <w:tcBorders>
              <w:right w:val="single" w:color="auto" w:sz="4" w:space="0"/>
            </w:tcBorders>
            <w:vAlign w:val="center"/>
          </w:tcPr>
          <w:p w14:paraId="0BF640D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合计</w:t>
            </w:r>
          </w:p>
        </w:tc>
      </w:tr>
      <w:tr w14:paraId="7C0E1D7B">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restart"/>
            <w:vAlign w:val="center"/>
          </w:tcPr>
          <w:p w14:paraId="3E73BEE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保</w:t>
            </w:r>
          </w:p>
          <w:p w14:paraId="5D770AC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有</w:t>
            </w:r>
          </w:p>
          <w:p w14:paraId="72EEF4C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资</w:t>
            </w:r>
          </w:p>
          <w:p w14:paraId="5D70949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源</w:t>
            </w:r>
          </w:p>
          <w:p w14:paraId="1A8410D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量</w:t>
            </w:r>
          </w:p>
        </w:tc>
        <w:tc>
          <w:tcPr>
            <w:tcW w:w="1622" w:type="dxa"/>
            <w:gridSpan w:val="2"/>
            <w:vMerge w:val="restart"/>
            <w:vAlign w:val="center"/>
          </w:tcPr>
          <w:p w14:paraId="437DF0D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最近一次报告</w:t>
            </w:r>
          </w:p>
        </w:tc>
        <w:tc>
          <w:tcPr>
            <w:tcW w:w="1624" w:type="dxa"/>
            <w:vAlign w:val="center"/>
          </w:tcPr>
          <w:p w14:paraId="316D2A3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金属量（单位）</w:t>
            </w:r>
          </w:p>
        </w:tc>
        <w:tc>
          <w:tcPr>
            <w:tcW w:w="1352" w:type="dxa"/>
            <w:gridSpan w:val="2"/>
            <w:tcBorders>
              <w:right w:val="single" w:color="auto" w:sz="4" w:space="0"/>
            </w:tcBorders>
            <w:vAlign w:val="center"/>
          </w:tcPr>
          <w:p w14:paraId="2BB9EB0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22B8C39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65B8E97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3209F39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7B95D637">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5203DFC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1B30FDE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50481FD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矿石量（单位）</w:t>
            </w:r>
          </w:p>
        </w:tc>
        <w:tc>
          <w:tcPr>
            <w:tcW w:w="1352" w:type="dxa"/>
            <w:gridSpan w:val="2"/>
            <w:tcBorders>
              <w:right w:val="single" w:color="auto" w:sz="4" w:space="0"/>
            </w:tcBorders>
            <w:vAlign w:val="center"/>
          </w:tcPr>
          <w:p w14:paraId="509655F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2DC3EF5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0CE6173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68BD5B0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197ED4B3">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6F6930C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1CE7D43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本次报告</w:t>
            </w:r>
          </w:p>
        </w:tc>
        <w:tc>
          <w:tcPr>
            <w:tcW w:w="1624" w:type="dxa"/>
            <w:vAlign w:val="center"/>
          </w:tcPr>
          <w:p w14:paraId="3D144A7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金属量（单位）</w:t>
            </w:r>
          </w:p>
        </w:tc>
        <w:tc>
          <w:tcPr>
            <w:tcW w:w="1352" w:type="dxa"/>
            <w:gridSpan w:val="2"/>
            <w:tcBorders>
              <w:right w:val="single" w:color="auto" w:sz="4" w:space="0"/>
            </w:tcBorders>
            <w:vAlign w:val="center"/>
          </w:tcPr>
          <w:p w14:paraId="006B3EBE">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341BEFD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2968893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5759CE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5F529A95">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4390112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2B0355F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4F3A3BB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矿石量（单位）</w:t>
            </w:r>
          </w:p>
        </w:tc>
        <w:tc>
          <w:tcPr>
            <w:tcW w:w="1352" w:type="dxa"/>
            <w:gridSpan w:val="2"/>
            <w:tcBorders>
              <w:right w:val="single" w:color="auto" w:sz="4" w:space="0"/>
            </w:tcBorders>
            <w:vAlign w:val="center"/>
          </w:tcPr>
          <w:p w14:paraId="0DEFF94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5032917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50D0E69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2155FE3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7D82D163">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7821E5F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0498F81D">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变化量</w:t>
            </w:r>
          </w:p>
        </w:tc>
        <w:tc>
          <w:tcPr>
            <w:tcW w:w="1624" w:type="dxa"/>
            <w:vAlign w:val="center"/>
          </w:tcPr>
          <w:p w14:paraId="51E92FB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金属量（单位）</w:t>
            </w:r>
          </w:p>
        </w:tc>
        <w:tc>
          <w:tcPr>
            <w:tcW w:w="1352" w:type="dxa"/>
            <w:gridSpan w:val="2"/>
            <w:tcBorders>
              <w:right w:val="single" w:color="auto" w:sz="4" w:space="0"/>
            </w:tcBorders>
            <w:vAlign w:val="center"/>
          </w:tcPr>
          <w:p w14:paraId="1173EFC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24E38B4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22E363B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0D5446A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5E0271D0">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41C525E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19FA305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1504676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矿石量（单位）</w:t>
            </w:r>
          </w:p>
        </w:tc>
        <w:tc>
          <w:tcPr>
            <w:tcW w:w="1352" w:type="dxa"/>
            <w:gridSpan w:val="2"/>
            <w:tcBorders>
              <w:right w:val="single" w:color="auto" w:sz="4" w:space="0"/>
            </w:tcBorders>
            <w:vAlign w:val="center"/>
          </w:tcPr>
          <w:p w14:paraId="711E1A3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7B2AAFF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67A8A62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1E803C4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30835DEA">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restart"/>
            <w:vAlign w:val="center"/>
          </w:tcPr>
          <w:p w14:paraId="6D0B68C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累</w:t>
            </w:r>
          </w:p>
          <w:p w14:paraId="4C5D735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计</w:t>
            </w:r>
          </w:p>
          <w:p w14:paraId="3A86493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动</w:t>
            </w:r>
          </w:p>
          <w:p w14:paraId="4D7E04C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用</w:t>
            </w:r>
          </w:p>
          <w:p w14:paraId="482461A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资</w:t>
            </w:r>
          </w:p>
          <w:p w14:paraId="68A2BA8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源</w:t>
            </w:r>
          </w:p>
          <w:p w14:paraId="1134072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量</w:t>
            </w:r>
          </w:p>
        </w:tc>
        <w:tc>
          <w:tcPr>
            <w:tcW w:w="1622" w:type="dxa"/>
            <w:gridSpan w:val="2"/>
            <w:vMerge w:val="restart"/>
            <w:vAlign w:val="center"/>
          </w:tcPr>
          <w:p w14:paraId="4ACB60D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最近一次报告</w:t>
            </w:r>
          </w:p>
        </w:tc>
        <w:tc>
          <w:tcPr>
            <w:tcW w:w="1624" w:type="dxa"/>
            <w:vAlign w:val="center"/>
          </w:tcPr>
          <w:p w14:paraId="5977620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0332C09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2D56B99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2F9257E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726829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1F5523C7">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435E192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2D02F52D">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72CCC67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1EA9DF4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395E70A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014BAC8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D4A192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6A583D99">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10F7996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4D4383E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本次报告</w:t>
            </w:r>
          </w:p>
        </w:tc>
        <w:tc>
          <w:tcPr>
            <w:tcW w:w="1624" w:type="dxa"/>
            <w:vAlign w:val="center"/>
          </w:tcPr>
          <w:p w14:paraId="41323EE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3C36812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407D7B2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3E163FB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813E86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5B1F9A48">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5E98147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2F2243A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62C95A4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3000C20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32EBD4A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41A3298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3DCBC7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76D082CB">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7441CF6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5E6983C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变化量</w:t>
            </w:r>
          </w:p>
        </w:tc>
        <w:tc>
          <w:tcPr>
            <w:tcW w:w="1624" w:type="dxa"/>
            <w:vAlign w:val="center"/>
          </w:tcPr>
          <w:p w14:paraId="44D8FB1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280447D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39E87CA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669F81D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0B01E8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2586D258">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49CFBFA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62D9029A">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3402087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13C0D08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30A37EC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6E9CAE7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7E4478D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47BD9E7B">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restart"/>
            <w:vAlign w:val="center"/>
          </w:tcPr>
          <w:p w14:paraId="043FC5C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累</w:t>
            </w:r>
          </w:p>
          <w:p w14:paraId="1A23E14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计</w:t>
            </w:r>
          </w:p>
          <w:p w14:paraId="1D6E6D5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查</w:t>
            </w:r>
          </w:p>
          <w:p w14:paraId="45EE7AF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明</w:t>
            </w:r>
          </w:p>
          <w:p w14:paraId="24CD5FCE">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资</w:t>
            </w:r>
          </w:p>
          <w:p w14:paraId="5DD9477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源</w:t>
            </w:r>
          </w:p>
          <w:p w14:paraId="2C1738A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量</w:t>
            </w:r>
          </w:p>
        </w:tc>
        <w:tc>
          <w:tcPr>
            <w:tcW w:w="1622" w:type="dxa"/>
            <w:gridSpan w:val="2"/>
            <w:vMerge w:val="restart"/>
            <w:vAlign w:val="center"/>
          </w:tcPr>
          <w:p w14:paraId="621CBA1D">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最近一次报告</w:t>
            </w:r>
          </w:p>
        </w:tc>
        <w:tc>
          <w:tcPr>
            <w:tcW w:w="1624" w:type="dxa"/>
            <w:vAlign w:val="center"/>
          </w:tcPr>
          <w:p w14:paraId="2EC0D14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4749455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5B642F4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3B18157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239EC6D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05BC6DD4">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50C48F9D">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2AD74D1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386E4C7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374A264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724E1F5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201CD17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2F2C69E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4FD5DD91">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10FA246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7207469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本次报告</w:t>
            </w:r>
          </w:p>
        </w:tc>
        <w:tc>
          <w:tcPr>
            <w:tcW w:w="1624" w:type="dxa"/>
            <w:vAlign w:val="center"/>
          </w:tcPr>
          <w:p w14:paraId="49D3915D">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0FE78FC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72FB4379">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04ADA13E">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0341166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0A721A22">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3BF0F57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2468649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08A4559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57C57D98">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6410548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19F79E65">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B1FDCDE">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23E15F8F">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1F41F39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restart"/>
            <w:vAlign w:val="center"/>
          </w:tcPr>
          <w:p w14:paraId="0F2965C6">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r>
              <w:rPr>
                <w:rFonts w:ascii="Times New Roman" w:hAnsi="Times New Roman" w:eastAsia="仿宋" w:cs="Times New Roman"/>
                <w:snapToGrid w:val="0"/>
                <w:color w:val="000000" w:themeColor="text1"/>
                <w:sz w:val="21"/>
                <w:szCs w:val="21"/>
                <w14:textFill>
                  <w14:solidFill>
                    <w14:schemeClr w14:val="tx1"/>
                  </w14:solidFill>
                </w14:textFill>
              </w:rPr>
              <w:t>变化量</w:t>
            </w:r>
          </w:p>
        </w:tc>
        <w:tc>
          <w:tcPr>
            <w:tcW w:w="1624" w:type="dxa"/>
            <w:vAlign w:val="center"/>
          </w:tcPr>
          <w:p w14:paraId="19A3C004">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1B1F5812">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1542104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11C918F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00D9C273">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r>
      <w:tr w14:paraId="3C2D1E1E">
        <w:tblPrEx>
          <w:tblBorders>
            <w:top w:val="single" w:color="auto" w:sz="4" w:space="0"/>
            <w:left w:val="single" w:color="auto" w:sz="4"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470" w:type="dxa"/>
            <w:vMerge w:val="continue"/>
            <w:vAlign w:val="center"/>
          </w:tcPr>
          <w:p w14:paraId="680A7D7C">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2" w:type="dxa"/>
            <w:gridSpan w:val="2"/>
            <w:vMerge w:val="continue"/>
            <w:vAlign w:val="center"/>
          </w:tcPr>
          <w:p w14:paraId="4B978BFE">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624" w:type="dxa"/>
            <w:vAlign w:val="center"/>
          </w:tcPr>
          <w:p w14:paraId="517AF951">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2" w:type="dxa"/>
            <w:gridSpan w:val="2"/>
            <w:tcBorders>
              <w:right w:val="single" w:color="auto" w:sz="4" w:space="0"/>
            </w:tcBorders>
            <w:vAlign w:val="center"/>
          </w:tcPr>
          <w:p w14:paraId="78C0C090">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410" w:type="dxa"/>
            <w:gridSpan w:val="2"/>
            <w:tcBorders>
              <w:right w:val="single" w:color="auto" w:sz="4" w:space="0"/>
            </w:tcBorders>
            <w:vAlign w:val="center"/>
          </w:tcPr>
          <w:p w14:paraId="7ABE926B">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297" w:type="dxa"/>
            <w:vAlign w:val="center"/>
          </w:tcPr>
          <w:p w14:paraId="0AED31AF">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tc>
        <w:tc>
          <w:tcPr>
            <w:tcW w:w="1357" w:type="dxa"/>
            <w:gridSpan w:val="2"/>
            <w:tcBorders>
              <w:right w:val="single" w:color="auto" w:sz="4" w:space="0"/>
            </w:tcBorders>
            <w:vAlign w:val="center"/>
          </w:tcPr>
          <w:p w14:paraId="549770F7">
            <w:pPr>
              <w:kinsoku w:val="0"/>
              <w:overflowPunct w:val="0"/>
              <w:autoSpaceDE w:val="0"/>
              <w:autoSpaceDN w:val="0"/>
              <w:adjustRightInd w:val="0"/>
              <w:snapToGrid w:val="0"/>
              <w:spacing w:line="240" w:lineRule="exact"/>
              <w:jc w:val="center"/>
              <w:rPr>
                <w:rFonts w:ascii="Times New Roman" w:hAnsi="Times New Roman" w:eastAsia="仿宋" w:cs="Times New Roman"/>
                <w:snapToGrid w:val="0"/>
                <w:color w:val="000000" w:themeColor="text1"/>
                <w:sz w:val="21"/>
                <w:szCs w:val="21"/>
                <w14:textFill>
                  <w14:solidFill>
                    <w14:schemeClr w14:val="tx1"/>
                  </w14:solidFill>
                </w14:textFill>
              </w:rPr>
            </w:pPr>
          </w:p>
          <w:p w14:paraId="67EC632F">
            <w:pPr>
              <w:rPr>
                <w:rFonts w:ascii="Times New Roman" w:hAnsi="Times New Roman" w:eastAsia="仿宋" w:cs="Times New Roman"/>
                <w:color w:val="000000" w:themeColor="text1"/>
                <w:sz w:val="21"/>
                <w:szCs w:val="21"/>
                <w14:textFill>
                  <w14:solidFill>
                    <w14:schemeClr w14:val="tx1"/>
                  </w14:solidFill>
                </w14:textFill>
              </w:rPr>
            </w:pPr>
          </w:p>
          <w:p w14:paraId="4E60C87F">
            <w:pPr>
              <w:rPr>
                <w:rFonts w:ascii="Times New Roman" w:hAnsi="Times New Roman" w:eastAsia="仿宋" w:cs="Times New Roman"/>
                <w:color w:val="000000" w:themeColor="text1"/>
                <w:sz w:val="21"/>
                <w:szCs w:val="21"/>
                <w14:textFill>
                  <w14:solidFill>
                    <w14:schemeClr w14:val="tx1"/>
                  </w14:solidFill>
                </w14:textFill>
              </w:rPr>
            </w:pPr>
          </w:p>
          <w:p w14:paraId="4E8D8417">
            <w:pPr>
              <w:rPr>
                <w:rFonts w:ascii="Times New Roman" w:hAnsi="Times New Roman" w:eastAsia="仿宋" w:cs="Times New Roman"/>
                <w:color w:val="000000" w:themeColor="text1"/>
                <w:sz w:val="21"/>
                <w:szCs w:val="21"/>
                <w14:textFill>
                  <w14:solidFill>
                    <w14:schemeClr w14:val="tx1"/>
                  </w14:solidFill>
                </w14:textFill>
              </w:rPr>
            </w:pPr>
          </w:p>
          <w:p w14:paraId="08440E3F">
            <w:pPr>
              <w:rPr>
                <w:rFonts w:ascii="Times New Roman" w:hAnsi="Times New Roman" w:eastAsia="仿宋" w:cs="Times New Roman"/>
                <w:color w:val="000000" w:themeColor="text1"/>
                <w:sz w:val="21"/>
                <w:szCs w:val="21"/>
                <w14:textFill>
                  <w14:solidFill>
                    <w14:schemeClr w14:val="tx1"/>
                  </w14:solidFill>
                </w14:textFill>
              </w:rPr>
            </w:pPr>
          </w:p>
          <w:p w14:paraId="13637791">
            <w:pPr>
              <w:rPr>
                <w:rFonts w:ascii="Times New Roman" w:hAnsi="Times New Roman" w:eastAsia="仿宋" w:cs="Times New Roman"/>
                <w:color w:val="000000" w:themeColor="text1"/>
                <w:sz w:val="21"/>
                <w:szCs w:val="21"/>
                <w14:textFill>
                  <w14:solidFill>
                    <w14:schemeClr w14:val="tx1"/>
                  </w14:solidFill>
                </w14:textFill>
              </w:rPr>
            </w:pPr>
          </w:p>
          <w:p w14:paraId="4CDE3FA9">
            <w:pPr>
              <w:rPr>
                <w:rFonts w:ascii="Times New Roman" w:hAnsi="Times New Roman" w:eastAsia="仿宋" w:cs="Times New Roman"/>
                <w:color w:val="000000" w:themeColor="text1"/>
                <w:sz w:val="21"/>
                <w:szCs w:val="21"/>
                <w14:textFill>
                  <w14:solidFill>
                    <w14:schemeClr w14:val="tx1"/>
                  </w14:solidFill>
                </w14:textFill>
              </w:rPr>
            </w:pPr>
          </w:p>
          <w:p w14:paraId="1738C4E3">
            <w:pPr>
              <w:rPr>
                <w:rFonts w:ascii="Times New Roman" w:hAnsi="Times New Roman" w:eastAsia="仿宋" w:cs="Times New Roman"/>
                <w:color w:val="000000" w:themeColor="text1"/>
                <w:sz w:val="21"/>
                <w:szCs w:val="21"/>
                <w14:textFill>
                  <w14:solidFill>
                    <w14:schemeClr w14:val="tx1"/>
                  </w14:solidFill>
                </w14:textFill>
              </w:rPr>
            </w:pPr>
          </w:p>
          <w:p w14:paraId="21B687A0">
            <w:pPr>
              <w:rPr>
                <w:rFonts w:ascii="Times New Roman" w:hAnsi="Times New Roman" w:eastAsia="仿宋" w:cs="Times New Roman"/>
                <w:color w:val="000000" w:themeColor="text1"/>
                <w:sz w:val="21"/>
                <w:szCs w:val="21"/>
                <w14:textFill>
                  <w14:solidFill>
                    <w14:schemeClr w14:val="tx1"/>
                  </w14:solidFill>
                </w14:textFill>
              </w:rPr>
            </w:pPr>
          </w:p>
          <w:p w14:paraId="30FCF2F0">
            <w:pPr>
              <w:rPr>
                <w:rFonts w:ascii="Times New Roman" w:hAnsi="Times New Roman" w:eastAsia="仿宋" w:cs="Times New Roman"/>
                <w:color w:val="000000" w:themeColor="text1"/>
                <w:sz w:val="21"/>
                <w:szCs w:val="21"/>
                <w14:textFill>
                  <w14:solidFill>
                    <w14:schemeClr w14:val="tx1"/>
                  </w14:solidFill>
                </w14:textFill>
              </w:rPr>
            </w:pPr>
          </w:p>
          <w:p w14:paraId="1157A493">
            <w:pPr>
              <w:rPr>
                <w:rFonts w:ascii="Times New Roman" w:hAnsi="Times New Roman" w:eastAsia="仿宋" w:cs="Times New Roman"/>
                <w:color w:val="000000" w:themeColor="text1"/>
                <w:sz w:val="21"/>
                <w:szCs w:val="21"/>
                <w14:textFill>
                  <w14:solidFill>
                    <w14:schemeClr w14:val="tx1"/>
                  </w14:solidFill>
                </w14:textFill>
              </w:rPr>
            </w:pPr>
          </w:p>
          <w:p w14:paraId="32AF753B">
            <w:pPr>
              <w:rPr>
                <w:rFonts w:ascii="Times New Roman" w:hAnsi="Times New Roman" w:eastAsia="仿宋" w:cs="Times New Roman"/>
                <w:color w:val="000000" w:themeColor="text1"/>
                <w:sz w:val="21"/>
                <w:szCs w:val="21"/>
                <w14:textFill>
                  <w14:solidFill>
                    <w14:schemeClr w14:val="tx1"/>
                  </w14:solidFill>
                </w14:textFill>
              </w:rPr>
            </w:pPr>
          </w:p>
          <w:p w14:paraId="139E68D5">
            <w:pPr>
              <w:rPr>
                <w:rFonts w:ascii="Times New Roman" w:hAnsi="Times New Roman" w:eastAsia="仿宋" w:cs="Times New Roman"/>
                <w:color w:val="000000" w:themeColor="text1"/>
                <w:sz w:val="21"/>
                <w:szCs w:val="21"/>
                <w14:textFill>
                  <w14:solidFill>
                    <w14:schemeClr w14:val="tx1"/>
                  </w14:solidFill>
                </w14:textFill>
              </w:rPr>
            </w:pPr>
          </w:p>
          <w:p w14:paraId="2A7C9D3F">
            <w:pPr>
              <w:rPr>
                <w:rFonts w:ascii="Times New Roman" w:hAnsi="Times New Roman" w:eastAsia="仿宋" w:cs="Times New Roman"/>
                <w:color w:val="000000" w:themeColor="text1"/>
                <w:sz w:val="21"/>
                <w:szCs w:val="21"/>
                <w14:textFill>
                  <w14:solidFill>
                    <w14:schemeClr w14:val="tx1"/>
                  </w14:solidFill>
                </w14:textFill>
              </w:rPr>
            </w:pPr>
          </w:p>
          <w:p w14:paraId="1719FE2D">
            <w:pPr>
              <w:rPr>
                <w:rFonts w:ascii="Times New Roman" w:hAnsi="Times New Roman" w:eastAsia="仿宋" w:cs="Times New Roman"/>
                <w:color w:val="000000" w:themeColor="text1"/>
                <w:sz w:val="21"/>
                <w:szCs w:val="21"/>
                <w14:textFill>
                  <w14:solidFill>
                    <w14:schemeClr w14:val="tx1"/>
                  </w14:solidFill>
                </w14:textFill>
              </w:rPr>
            </w:pPr>
          </w:p>
          <w:p w14:paraId="085A91BF">
            <w:pPr>
              <w:rPr>
                <w:rFonts w:ascii="Times New Roman" w:hAnsi="Times New Roman" w:eastAsia="仿宋" w:cs="Times New Roman"/>
                <w:color w:val="000000" w:themeColor="text1"/>
                <w:sz w:val="21"/>
                <w:szCs w:val="21"/>
                <w14:textFill>
                  <w14:solidFill>
                    <w14:schemeClr w14:val="tx1"/>
                  </w14:solidFill>
                </w14:textFill>
              </w:rPr>
            </w:pPr>
          </w:p>
          <w:p w14:paraId="2989D525">
            <w:pPr>
              <w:rPr>
                <w:rFonts w:ascii="Times New Roman" w:hAnsi="Times New Roman" w:eastAsia="仿宋" w:cs="Times New Roman"/>
                <w:color w:val="000000" w:themeColor="text1"/>
                <w:sz w:val="21"/>
                <w:szCs w:val="21"/>
                <w14:textFill>
                  <w14:solidFill>
                    <w14:schemeClr w14:val="tx1"/>
                  </w14:solidFill>
                </w14:textFill>
              </w:rPr>
            </w:pPr>
          </w:p>
          <w:p w14:paraId="34AD2A28">
            <w:pPr>
              <w:rPr>
                <w:rFonts w:ascii="Times New Roman" w:hAnsi="Times New Roman" w:eastAsia="仿宋" w:cs="Times New Roman"/>
                <w:color w:val="000000" w:themeColor="text1"/>
                <w:sz w:val="21"/>
                <w:szCs w:val="21"/>
                <w14:textFill>
                  <w14:solidFill>
                    <w14:schemeClr w14:val="tx1"/>
                  </w14:solidFill>
                </w14:textFill>
              </w:rPr>
            </w:pPr>
          </w:p>
          <w:p w14:paraId="634329C6">
            <w:pPr>
              <w:rPr>
                <w:rFonts w:ascii="Times New Roman" w:hAnsi="Times New Roman" w:eastAsia="仿宋" w:cs="Times New Roman"/>
                <w:color w:val="000000" w:themeColor="text1"/>
                <w:sz w:val="21"/>
                <w:szCs w:val="21"/>
                <w14:textFill>
                  <w14:solidFill>
                    <w14:schemeClr w14:val="tx1"/>
                  </w14:solidFill>
                </w14:textFill>
              </w:rPr>
            </w:pPr>
          </w:p>
          <w:p w14:paraId="48FF973A">
            <w:pPr>
              <w:rPr>
                <w:rFonts w:ascii="Times New Roman" w:hAnsi="Times New Roman" w:eastAsia="仿宋" w:cs="Times New Roman"/>
                <w:color w:val="000000" w:themeColor="text1"/>
                <w:sz w:val="21"/>
                <w:szCs w:val="21"/>
                <w14:textFill>
                  <w14:solidFill>
                    <w14:schemeClr w14:val="tx1"/>
                  </w14:solidFill>
                </w14:textFill>
              </w:rPr>
            </w:pPr>
          </w:p>
          <w:p w14:paraId="06EC19A2">
            <w:pPr>
              <w:rPr>
                <w:rFonts w:ascii="Times New Roman" w:hAnsi="Times New Roman" w:eastAsia="仿宋" w:cs="Times New Roman"/>
                <w:color w:val="000000" w:themeColor="text1"/>
                <w:sz w:val="21"/>
                <w:szCs w:val="21"/>
                <w14:textFill>
                  <w14:solidFill>
                    <w14:schemeClr w14:val="tx1"/>
                  </w14:solidFill>
                </w14:textFill>
              </w:rPr>
            </w:pPr>
          </w:p>
          <w:p w14:paraId="486018DE">
            <w:pPr>
              <w:rPr>
                <w:rFonts w:ascii="Times New Roman" w:hAnsi="Times New Roman" w:eastAsia="仿宋" w:cs="Times New Roman"/>
                <w:color w:val="000000" w:themeColor="text1"/>
                <w:sz w:val="21"/>
                <w:szCs w:val="21"/>
                <w14:textFill>
                  <w14:solidFill>
                    <w14:schemeClr w14:val="tx1"/>
                  </w14:solidFill>
                </w14:textFill>
              </w:rPr>
            </w:pPr>
          </w:p>
          <w:p w14:paraId="0BE1C469">
            <w:pPr>
              <w:rPr>
                <w:rFonts w:ascii="Times New Roman" w:hAnsi="Times New Roman" w:eastAsia="仿宋" w:cs="Times New Roman"/>
                <w:color w:val="000000" w:themeColor="text1"/>
                <w:sz w:val="21"/>
                <w:szCs w:val="21"/>
                <w14:textFill>
                  <w14:solidFill>
                    <w14:schemeClr w14:val="tx1"/>
                  </w14:solidFill>
                </w14:textFill>
              </w:rPr>
            </w:pPr>
          </w:p>
          <w:p w14:paraId="28510158">
            <w:pPr>
              <w:rPr>
                <w:rFonts w:ascii="Times New Roman" w:hAnsi="Times New Roman" w:eastAsia="仿宋" w:cs="Times New Roman"/>
                <w:color w:val="000000" w:themeColor="text1"/>
                <w:sz w:val="21"/>
                <w:szCs w:val="21"/>
                <w14:textFill>
                  <w14:solidFill>
                    <w14:schemeClr w14:val="tx1"/>
                  </w14:solidFill>
                </w14:textFill>
              </w:rPr>
            </w:pPr>
          </w:p>
          <w:p w14:paraId="5467D187">
            <w:pPr>
              <w:rPr>
                <w:rFonts w:ascii="Times New Roman" w:hAnsi="Times New Roman" w:eastAsia="仿宋" w:cs="Times New Roman"/>
                <w:color w:val="000000" w:themeColor="text1"/>
                <w:sz w:val="21"/>
                <w:szCs w:val="21"/>
                <w14:textFill>
                  <w14:solidFill>
                    <w14:schemeClr w14:val="tx1"/>
                  </w14:solidFill>
                </w14:textFill>
              </w:rPr>
            </w:pPr>
          </w:p>
          <w:p w14:paraId="2B547BEA">
            <w:pPr>
              <w:rPr>
                <w:rFonts w:ascii="Times New Roman" w:hAnsi="Times New Roman" w:eastAsia="仿宋" w:cs="Times New Roman"/>
                <w:color w:val="000000" w:themeColor="text1"/>
                <w:sz w:val="21"/>
                <w:szCs w:val="21"/>
                <w14:textFill>
                  <w14:solidFill>
                    <w14:schemeClr w14:val="tx1"/>
                  </w14:solidFill>
                </w14:textFill>
              </w:rPr>
            </w:pPr>
          </w:p>
          <w:p w14:paraId="611C2901">
            <w:pPr>
              <w:rPr>
                <w:rFonts w:ascii="Times New Roman" w:hAnsi="Times New Roman" w:eastAsia="仿宋" w:cs="Times New Roman"/>
                <w:color w:val="000000" w:themeColor="text1"/>
                <w:sz w:val="21"/>
                <w:szCs w:val="21"/>
                <w14:textFill>
                  <w14:solidFill>
                    <w14:schemeClr w14:val="tx1"/>
                  </w14:solidFill>
                </w14:textFill>
              </w:rPr>
            </w:pPr>
          </w:p>
        </w:tc>
      </w:tr>
    </w:tbl>
    <w:p w14:paraId="461CF624">
      <w:pPr>
        <w:rPr>
          <w:rFonts w:ascii="Times New Roman" w:hAnsi="Times New Roman" w:eastAsia="方正小标宋简体" w:cs="Times New Roman"/>
          <w:color w:val="000000" w:themeColor="text1"/>
          <w:sz w:val="32"/>
          <w:szCs w:val="32"/>
          <w:highlight w:val="none"/>
          <w:u w:val="none" w:color="auto"/>
          <w14:textFill>
            <w14:solidFill>
              <w14:schemeClr w14:val="tx1"/>
            </w14:solidFill>
          </w14:textFill>
        </w:rPr>
      </w:pPr>
      <w:r>
        <w:rPr>
          <w:rFonts w:ascii="Times New Roman" w:hAnsi="Times New Roman" w:eastAsia="方正小标宋简体" w:cs="Times New Roman"/>
          <w:color w:val="000000" w:themeColor="text1"/>
          <w:sz w:val="32"/>
          <w:szCs w:val="32"/>
          <w:highlight w:val="none"/>
          <w:u w:val="none" w:color="auto"/>
          <w14:textFill>
            <w14:solidFill>
              <w14:schemeClr w14:val="tx1"/>
            </w14:solidFill>
          </w14:textFill>
        </w:rPr>
        <w:br w:type="page"/>
      </w:r>
    </w:p>
    <w:p w14:paraId="066CA4CB">
      <w:pPr>
        <w:adjustRightInd w:val="0"/>
        <w:snapToGrid w:val="0"/>
        <w:spacing w:before="120" w:after="120" w:line="600" w:lineRule="exact"/>
        <w:jc w:val="both"/>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pPr>
      <w:r>
        <w:rPr>
          <w:rFonts w:hint="default" w:ascii="Times New Roman" w:hAnsi="Times New Roman" w:eastAsia="方正黑体_GBK" w:cs="Times New Roman"/>
          <w:b w:val="0"/>
          <w:bCs/>
          <w:snapToGrid w:val="0"/>
          <w:color w:val="000000" w:themeColor="text1"/>
          <w:sz w:val="32"/>
          <w:szCs w:val="32"/>
          <w:lang w:eastAsia="zh-CN"/>
          <w14:textFill>
            <w14:solidFill>
              <w14:schemeClr w14:val="tx1"/>
            </w14:solidFill>
          </w14:textFill>
        </w:rPr>
        <w:t>附件</w:t>
      </w:r>
      <w:r>
        <w:rPr>
          <w:rFonts w:hint="default" w:ascii="Times New Roman" w:hAnsi="Times New Roman" w:eastAsia="方正黑体_GBK" w:cs="Times New Roman"/>
          <w:b w:val="0"/>
          <w:bCs/>
          <w:snapToGrid w:val="0"/>
          <w:color w:val="000000" w:themeColor="text1"/>
          <w:sz w:val="32"/>
          <w:szCs w:val="32"/>
          <w:lang w:val="en-US" w:eastAsia="zh-CN"/>
          <w14:textFill>
            <w14:solidFill>
              <w14:schemeClr w14:val="tx1"/>
            </w14:solidFill>
          </w14:textFill>
        </w:rPr>
        <w:t>3-4</w:t>
      </w:r>
    </w:p>
    <w:p w14:paraId="67F895E2">
      <w:pPr>
        <w:rPr>
          <w:rFonts w:hint="default" w:ascii="Times New Roman" w:hAnsi="Times New Roman" w:eastAsia="方正黑体_GBK" w:cs="Times New Roman"/>
          <w:snapToGrid w:val="0"/>
          <w:color w:val="000000" w:themeColor="text1"/>
          <w:sz w:val="32"/>
          <w:szCs w:val="32"/>
          <w:lang w:eastAsia="zh-CN"/>
          <w14:textFill>
            <w14:solidFill>
              <w14:schemeClr w14:val="tx1"/>
            </w14:solidFill>
          </w14:textFill>
        </w:rPr>
      </w:pPr>
    </w:p>
    <w:p w14:paraId="4CA8B2DE">
      <w:pPr>
        <w:adjustRightInd w:val="0"/>
        <w:snapToGrid w:val="0"/>
        <w:spacing w:before="120" w:after="120" w:line="560" w:lineRule="exact"/>
        <w:jc w:val="cente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pPr>
      <w:r>
        <w:rPr>
          <w:rFonts w:hint="default" w:ascii="Times New Roman" w:hAnsi="Times New Roman" w:eastAsia="方正小标宋_GBK" w:cs="Times New Roman"/>
          <w:b w:val="0"/>
          <w:bCs/>
          <w:snapToGrid w:val="0"/>
          <w:color w:val="000000" w:themeColor="text1"/>
          <w:sz w:val="44"/>
          <w:szCs w:val="44"/>
          <w14:textFill>
            <w14:solidFill>
              <w14:schemeClr w14:val="tx1"/>
            </w14:solidFill>
          </w14:textFill>
        </w:rPr>
        <w:t>评审专家组签名表</w:t>
      </w:r>
    </w:p>
    <w:tbl>
      <w:tblPr>
        <w:tblStyle w:val="11"/>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226"/>
        <w:gridCol w:w="2463"/>
        <w:gridCol w:w="1896"/>
      </w:tblGrid>
      <w:tr w14:paraId="5C65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7F9ACB6E">
            <w:pPr>
              <w:jc w:val="center"/>
              <w:rPr>
                <w:rFonts w:hint="eastAsia" w:ascii="方正黑体_GBK" w:hAnsi="方正黑体_GBK" w:eastAsia="方正黑体_GBK" w:cs="方正黑体_GBK"/>
                <w:b w:val="0"/>
                <w:bCs w:val="0"/>
                <w:color w:val="000000" w:themeColor="text1"/>
                <w:sz w:val="28"/>
                <w:szCs w:val="30"/>
                <w14:textFill>
                  <w14:solidFill>
                    <w14:schemeClr w14:val="tx1"/>
                  </w14:solidFill>
                </w14:textFill>
              </w:rPr>
            </w:pPr>
            <w:r>
              <w:rPr>
                <w:rFonts w:hint="eastAsia" w:ascii="方正黑体_GBK" w:hAnsi="方正黑体_GBK" w:eastAsia="方正黑体_GBK" w:cs="方正黑体_GBK"/>
                <w:b w:val="0"/>
                <w:bCs w:val="0"/>
                <w:color w:val="000000" w:themeColor="text1"/>
                <w:sz w:val="28"/>
                <w:szCs w:val="30"/>
                <w14:textFill>
                  <w14:solidFill>
                    <w14:schemeClr w14:val="tx1"/>
                  </w14:solidFill>
                </w14:textFill>
              </w:rPr>
              <w:t>姓  名</w:t>
            </w:r>
          </w:p>
        </w:tc>
        <w:tc>
          <w:tcPr>
            <w:tcW w:w="2226" w:type="dxa"/>
            <w:vAlign w:val="center"/>
          </w:tcPr>
          <w:p w14:paraId="3948BD97">
            <w:pPr>
              <w:jc w:val="center"/>
              <w:rPr>
                <w:rFonts w:hint="eastAsia" w:ascii="方正黑体_GBK" w:hAnsi="方正黑体_GBK" w:eastAsia="方正黑体_GBK" w:cs="方正黑体_GBK"/>
                <w:b w:val="0"/>
                <w:bCs w:val="0"/>
                <w:color w:val="000000" w:themeColor="text1"/>
                <w:sz w:val="28"/>
                <w:szCs w:val="30"/>
                <w14:textFill>
                  <w14:solidFill>
                    <w14:schemeClr w14:val="tx1"/>
                  </w14:solidFill>
                </w14:textFill>
              </w:rPr>
            </w:pPr>
            <w:r>
              <w:rPr>
                <w:rFonts w:hint="eastAsia" w:ascii="方正黑体_GBK" w:hAnsi="方正黑体_GBK" w:eastAsia="方正黑体_GBK" w:cs="方正黑体_GBK"/>
                <w:b w:val="0"/>
                <w:bCs w:val="0"/>
                <w:color w:val="000000" w:themeColor="text1"/>
                <w:sz w:val="28"/>
                <w:szCs w:val="30"/>
                <w14:textFill>
                  <w14:solidFill>
                    <w14:schemeClr w14:val="tx1"/>
                  </w14:solidFill>
                </w14:textFill>
              </w:rPr>
              <w:t>评审专业</w:t>
            </w:r>
          </w:p>
        </w:tc>
        <w:tc>
          <w:tcPr>
            <w:tcW w:w="2463" w:type="dxa"/>
            <w:vAlign w:val="center"/>
          </w:tcPr>
          <w:p w14:paraId="6BFB2A13">
            <w:pPr>
              <w:jc w:val="center"/>
              <w:rPr>
                <w:rFonts w:hint="eastAsia" w:ascii="方正黑体_GBK" w:hAnsi="方正黑体_GBK" w:eastAsia="方正黑体_GBK" w:cs="方正黑体_GBK"/>
                <w:b w:val="0"/>
                <w:bCs w:val="0"/>
                <w:color w:val="000000" w:themeColor="text1"/>
                <w:sz w:val="28"/>
                <w:szCs w:val="30"/>
                <w14:textFill>
                  <w14:solidFill>
                    <w14:schemeClr w14:val="tx1"/>
                  </w14:solidFill>
                </w14:textFill>
              </w:rPr>
            </w:pPr>
            <w:r>
              <w:rPr>
                <w:rFonts w:hint="eastAsia" w:ascii="方正黑体_GBK" w:hAnsi="方正黑体_GBK" w:eastAsia="方正黑体_GBK" w:cs="方正黑体_GBK"/>
                <w:b w:val="0"/>
                <w:bCs w:val="0"/>
                <w:color w:val="000000" w:themeColor="text1"/>
                <w:sz w:val="28"/>
                <w:szCs w:val="30"/>
                <w14:textFill>
                  <w14:solidFill>
                    <w14:schemeClr w14:val="tx1"/>
                  </w14:solidFill>
                </w14:textFill>
              </w:rPr>
              <w:t>技术职称</w:t>
            </w:r>
          </w:p>
        </w:tc>
        <w:tc>
          <w:tcPr>
            <w:tcW w:w="1896" w:type="dxa"/>
            <w:vAlign w:val="center"/>
          </w:tcPr>
          <w:p w14:paraId="66C66335">
            <w:pPr>
              <w:jc w:val="center"/>
              <w:rPr>
                <w:rFonts w:hint="eastAsia" w:ascii="方正黑体_GBK" w:hAnsi="方正黑体_GBK" w:eastAsia="方正黑体_GBK" w:cs="方正黑体_GBK"/>
                <w:b w:val="0"/>
                <w:bCs w:val="0"/>
                <w:color w:val="000000" w:themeColor="text1"/>
                <w:sz w:val="28"/>
                <w:szCs w:val="30"/>
                <w14:textFill>
                  <w14:solidFill>
                    <w14:schemeClr w14:val="tx1"/>
                  </w14:solidFill>
                </w14:textFill>
              </w:rPr>
            </w:pPr>
            <w:r>
              <w:rPr>
                <w:rFonts w:hint="eastAsia" w:ascii="方正黑体_GBK" w:hAnsi="方正黑体_GBK" w:eastAsia="方正黑体_GBK" w:cs="方正黑体_GBK"/>
                <w:b w:val="0"/>
                <w:bCs w:val="0"/>
                <w:color w:val="000000" w:themeColor="text1"/>
                <w:sz w:val="28"/>
                <w:szCs w:val="30"/>
                <w14:textFill>
                  <w14:solidFill>
                    <w14:schemeClr w14:val="tx1"/>
                  </w14:solidFill>
                </w14:textFill>
              </w:rPr>
              <w:t>签  名</w:t>
            </w:r>
          </w:p>
        </w:tc>
      </w:tr>
      <w:tr w14:paraId="4B4A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5301BA22">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226" w:type="dxa"/>
            <w:vAlign w:val="center"/>
          </w:tcPr>
          <w:p w14:paraId="659AA3A6">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463" w:type="dxa"/>
            <w:vAlign w:val="center"/>
          </w:tcPr>
          <w:p w14:paraId="1B68D7C2">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1896" w:type="dxa"/>
            <w:vAlign w:val="center"/>
          </w:tcPr>
          <w:p w14:paraId="141B313D">
            <w:pPr>
              <w:jc w:val="center"/>
              <w:rPr>
                <w:rFonts w:ascii="Times New Roman" w:hAnsi="Times New Roman" w:cs="Times New Roman"/>
                <w:color w:val="000000" w:themeColor="text1"/>
                <w:sz w:val="30"/>
                <w:szCs w:val="30"/>
                <w14:textFill>
                  <w14:solidFill>
                    <w14:schemeClr w14:val="tx1"/>
                  </w14:solidFill>
                </w14:textFill>
              </w:rPr>
            </w:pPr>
          </w:p>
        </w:tc>
      </w:tr>
      <w:tr w14:paraId="364F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6FE4BC38">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226" w:type="dxa"/>
            <w:vAlign w:val="center"/>
          </w:tcPr>
          <w:p w14:paraId="73FA392C">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463" w:type="dxa"/>
            <w:vAlign w:val="center"/>
          </w:tcPr>
          <w:p w14:paraId="2D1849D3">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1896" w:type="dxa"/>
            <w:vAlign w:val="center"/>
          </w:tcPr>
          <w:p w14:paraId="15E14ACA">
            <w:pPr>
              <w:jc w:val="center"/>
              <w:rPr>
                <w:rFonts w:ascii="Times New Roman" w:hAnsi="Times New Roman" w:cs="Times New Roman"/>
                <w:color w:val="000000" w:themeColor="text1"/>
                <w:sz w:val="30"/>
                <w:szCs w:val="30"/>
                <w14:textFill>
                  <w14:solidFill>
                    <w14:schemeClr w14:val="tx1"/>
                  </w14:solidFill>
                </w14:textFill>
              </w:rPr>
            </w:pPr>
          </w:p>
        </w:tc>
      </w:tr>
      <w:tr w14:paraId="7E38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78A518C1">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226" w:type="dxa"/>
            <w:vAlign w:val="center"/>
          </w:tcPr>
          <w:p w14:paraId="5F9447C0">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463" w:type="dxa"/>
            <w:vAlign w:val="center"/>
          </w:tcPr>
          <w:p w14:paraId="5C1F26B6">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1896" w:type="dxa"/>
            <w:vAlign w:val="center"/>
          </w:tcPr>
          <w:p w14:paraId="5248550A">
            <w:pPr>
              <w:jc w:val="center"/>
              <w:rPr>
                <w:rFonts w:ascii="Times New Roman" w:hAnsi="Times New Roman" w:cs="Times New Roman"/>
                <w:color w:val="000000" w:themeColor="text1"/>
                <w:sz w:val="30"/>
                <w:szCs w:val="30"/>
                <w14:textFill>
                  <w14:solidFill>
                    <w14:schemeClr w14:val="tx1"/>
                  </w14:solidFill>
                </w14:textFill>
              </w:rPr>
            </w:pPr>
          </w:p>
        </w:tc>
      </w:tr>
      <w:tr w14:paraId="0661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08305446">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226" w:type="dxa"/>
            <w:vAlign w:val="center"/>
          </w:tcPr>
          <w:p w14:paraId="06B91537">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463" w:type="dxa"/>
            <w:vAlign w:val="center"/>
          </w:tcPr>
          <w:p w14:paraId="42F44C4D">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1896" w:type="dxa"/>
            <w:vAlign w:val="center"/>
          </w:tcPr>
          <w:p w14:paraId="7BA39004">
            <w:pPr>
              <w:jc w:val="center"/>
              <w:rPr>
                <w:rFonts w:ascii="Times New Roman" w:hAnsi="Times New Roman" w:cs="Times New Roman"/>
                <w:color w:val="000000" w:themeColor="text1"/>
                <w:sz w:val="30"/>
                <w:szCs w:val="30"/>
                <w14:textFill>
                  <w14:solidFill>
                    <w14:schemeClr w14:val="tx1"/>
                  </w14:solidFill>
                </w14:textFill>
              </w:rPr>
            </w:pPr>
          </w:p>
        </w:tc>
      </w:tr>
      <w:tr w14:paraId="003B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1380" w:type="dxa"/>
            <w:vAlign w:val="center"/>
          </w:tcPr>
          <w:p w14:paraId="2A3732DB">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226" w:type="dxa"/>
            <w:vAlign w:val="center"/>
          </w:tcPr>
          <w:p w14:paraId="0DA212CB">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2463" w:type="dxa"/>
            <w:vAlign w:val="center"/>
          </w:tcPr>
          <w:p w14:paraId="7D9195A3">
            <w:pPr>
              <w:jc w:val="center"/>
              <w:rPr>
                <w:rFonts w:ascii="Times New Roman" w:hAnsi="Times New Roman" w:eastAsia="仿宋_GB2312" w:cs="Times New Roman"/>
                <w:color w:val="000000" w:themeColor="text1"/>
                <w:sz w:val="30"/>
                <w:szCs w:val="30"/>
                <w14:textFill>
                  <w14:solidFill>
                    <w14:schemeClr w14:val="tx1"/>
                  </w14:solidFill>
                </w14:textFill>
              </w:rPr>
            </w:pPr>
          </w:p>
        </w:tc>
        <w:tc>
          <w:tcPr>
            <w:tcW w:w="1896" w:type="dxa"/>
            <w:vAlign w:val="center"/>
          </w:tcPr>
          <w:p w14:paraId="0B7B9C55">
            <w:pPr>
              <w:jc w:val="center"/>
              <w:rPr>
                <w:rFonts w:ascii="Times New Roman" w:hAnsi="Times New Roman" w:cs="Times New Roman"/>
                <w:color w:val="000000" w:themeColor="text1"/>
                <w:sz w:val="30"/>
                <w:szCs w:val="30"/>
                <w14:textFill>
                  <w14:solidFill>
                    <w14:schemeClr w14:val="tx1"/>
                  </w14:solidFill>
                </w14:textFill>
              </w:rPr>
            </w:pPr>
          </w:p>
        </w:tc>
      </w:tr>
    </w:tbl>
    <w:p w14:paraId="060BA8D3">
      <w:pPr>
        <w:adjustRightInd w:val="0"/>
        <w:snapToGrid w:val="0"/>
        <w:spacing w:line="560" w:lineRule="exact"/>
        <w:jc w:val="center"/>
        <w:rPr>
          <w:rFonts w:ascii="Times New Roman" w:hAnsi="Times New Roman" w:cs="Times New Roman"/>
          <w:b/>
          <w:snapToGrid w:val="0"/>
          <w:color w:val="000000" w:themeColor="text1"/>
          <w:sz w:val="32"/>
          <w:szCs w:val="32"/>
          <w14:textFill>
            <w14:solidFill>
              <w14:schemeClr w14:val="tx1"/>
            </w14:solidFill>
          </w14:textFill>
        </w:rPr>
      </w:pPr>
    </w:p>
    <w:p w14:paraId="476A004B">
      <w:pPr>
        <w:ind w:left="420" w:firstLine="0" w:firstLineChars="0"/>
        <w:jc w:val="center"/>
        <w:outlineLvl w:val="0"/>
        <w:rPr>
          <w:rFonts w:ascii="Times New Roman" w:hAnsi="Times New Roman" w:eastAsia="方正小标宋简体" w:cs="Times New Roman"/>
          <w:color w:val="000000" w:themeColor="text1"/>
          <w:sz w:val="32"/>
          <w:szCs w:val="32"/>
          <w:highlight w:val="none"/>
          <w:u w:val="none" w:color="auto"/>
          <w14:textFill>
            <w14:solidFill>
              <w14:schemeClr w14:val="tx1"/>
            </w14:solidFill>
          </w14:textFill>
        </w:rPr>
      </w:pPr>
      <w:r>
        <w:rPr>
          <w:rFonts w:ascii="Times New Roman" w:hAnsi="Times New Roman" w:eastAsia="黑体" w:cs="Times New Roman"/>
          <w:snapToGrid w:val="0"/>
          <w:color w:val="000000" w:themeColor="text1"/>
          <w:sz w:val="32"/>
          <w:szCs w:val="32"/>
          <w14:textFill>
            <w14:solidFill>
              <w14:schemeClr w14:val="tx1"/>
            </w14:solidFill>
          </w14:textFill>
        </w:rPr>
        <w:br w:type="page"/>
      </w:r>
    </w:p>
    <w:p w14:paraId="42712402">
      <w:pPr>
        <w:pStyle w:val="15"/>
        <w:ind w:left="0" w:firstLine="0" w:firstLineChars="0"/>
        <w:jc w:val="center"/>
        <w:outlineLvl w:val="0"/>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pPr>
      <w:r>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t>矿产资源储量评审意见书（样式</w:t>
      </w:r>
      <w:r>
        <w:rPr>
          <w:rFonts w:hint="eastAsia" w:ascii="Times New Roman" w:hAnsi="Times New Roman" w:eastAsia="方正小标宋_GBK" w:cs="方正小标宋_GBK"/>
          <w:color w:val="000000" w:themeColor="text1"/>
          <w:sz w:val="44"/>
          <w:szCs w:val="44"/>
          <w:highlight w:val="none"/>
          <w:u w:val="none" w:color="auto"/>
          <w:lang w:val="en-US" w:eastAsia="zh-CN"/>
          <w14:textFill>
            <w14:solidFill>
              <w14:schemeClr w14:val="tx1"/>
            </w14:solidFill>
          </w14:textFill>
        </w:rPr>
        <w:t>二</w:t>
      </w:r>
      <w:r>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t>）</w:t>
      </w:r>
    </w:p>
    <w:tbl>
      <w:tblPr>
        <w:tblStyle w:val="11"/>
        <w:tblW w:w="8080" w:type="dxa"/>
        <w:jc w:val="center"/>
        <w:tblLayout w:type="fixed"/>
        <w:tblCellMar>
          <w:top w:w="0" w:type="dxa"/>
          <w:left w:w="108" w:type="dxa"/>
          <w:bottom w:w="0" w:type="dxa"/>
          <w:right w:w="108" w:type="dxa"/>
        </w:tblCellMar>
      </w:tblPr>
      <w:tblGrid>
        <w:gridCol w:w="8080"/>
      </w:tblGrid>
      <w:tr w14:paraId="0DA140E0">
        <w:tblPrEx>
          <w:tblCellMar>
            <w:top w:w="0" w:type="dxa"/>
            <w:left w:w="108" w:type="dxa"/>
            <w:bottom w:w="0" w:type="dxa"/>
            <w:right w:w="108" w:type="dxa"/>
          </w:tblCellMar>
        </w:tblPrEx>
        <w:trPr>
          <w:trHeight w:val="218" w:hRule="atLeast"/>
          <w:jc w:val="center"/>
        </w:trPr>
        <w:tc>
          <w:tcPr>
            <w:tcW w:w="8080" w:type="dxa"/>
            <w:vAlign w:val="top"/>
          </w:tcPr>
          <w:p w14:paraId="65210CFE">
            <w:pPr>
              <w:pStyle w:val="15"/>
              <w:ind w:left="420" w:firstLine="0" w:firstLineChars="0"/>
              <w:jc w:val="center"/>
              <w:rPr>
                <w:rFonts w:hint="eastAsia" w:ascii="Times New Roman" w:hAnsi="Times New Roman" w:eastAsia="仿宋_GB2312" w:cs="仿宋_GB2312"/>
                <w:b/>
                <w:color w:val="000000" w:themeColor="text1"/>
                <w:sz w:val="40"/>
                <w:szCs w:val="40"/>
                <w14:textFill>
                  <w14:solidFill>
                    <w14:schemeClr w14:val="tx1"/>
                  </w14:solidFill>
                </w14:textFill>
              </w:rPr>
            </w:pPr>
          </w:p>
          <w:p w14:paraId="4F119995">
            <w:pPr>
              <w:pStyle w:val="15"/>
              <w:ind w:left="0" w:firstLine="0" w:firstLineChars="0"/>
              <w:jc w:val="center"/>
              <w:rPr>
                <w:rFonts w:hint="eastAsia" w:ascii="Times New Roman" w:hAnsi="Times New Roman" w:eastAsia="仿宋_GB2312" w:cs="仿宋_GB2312"/>
                <w:color w:val="000000" w:themeColor="text1"/>
                <w:sz w:val="32"/>
                <w:szCs w:val="32"/>
                <w:highlight w:val="none"/>
                <w:u w:val="none" w:color="auto"/>
                <w14:textFill>
                  <w14:solidFill>
                    <w14:schemeClr w14:val="tx1"/>
                  </w14:solidFill>
                </w14:textFill>
              </w:rPr>
            </w:pPr>
            <w:r>
              <w:rPr>
                <w:rFonts w:hint="eastAsia" w:ascii="Times New Roman" w:hAnsi="Times New Roman" w:eastAsia="仿宋_GB2312" w:cs="仿宋_GB2312"/>
                <w:b/>
                <w:color w:val="000000" w:themeColor="text1"/>
                <w:sz w:val="40"/>
                <w:szCs w:val="40"/>
                <w14:textFill>
                  <w14:solidFill>
                    <w14:schemeClr w14:val="tx1"/>
                  </w14:solidFill>
                </w14:textFill>
              </w:rPr>
              <w:t>《</w:t>
            </w:r>
            <w:r>
              <w:rPr>
                <w:rFonts w:hint="eastAsia" w:ascii="Times New Roman" w:hAnsi="Times New Roman" w:eastAsia="仿宋_GB2312" w:cs="仿宋_GB2312"/>
                <w:snapToGrid w:val="0"/>
                <w:color w:val="000000" w:themeColor="text1"/>
                <w:sz w:val="40"/>
                <w:szCs w:val="40"/>
                <w:lang w:eastAsia="zh-CN"/>
                <w14:textFill>
                  <w14:solidFill>
                    <w14:schemeClr w14:val="tx1"/>
                  </w14:solidFill>
                </w14:textFill>
              </w:rPr>
              <w:t>×××</w:t>
            </w:r>
            <w:r>
              <w:rPr>
                <w:rFonts w:hint="eastAsia" w:ascii="Times New Roman" w:hAnsi="Times New Roman" w:eastAsia="仿宋_GB2312" w:cs="仿宋_GB2312"/>
                <w:b/>
                <w:snapToGrid/>
                <w:color w:val="000000" w:themeColor="text1"/>
                <w:sz w:val="40"/>
                <w:szCs w:val="40"/>
                <w:lang w:val="en-US" w:eastAsia="zh-CN"/>
                <w14:textFill>
                  <w14:solidFill>
                    <w14:schemeClr w14:val="tx1"/>
                  </w14:solidFill>
                </w14:textFill>
              </w:rPr>
              <w:t>项目压覆重要矿产资源评估</w:t>
            </w:r>
            <w:r>
              <w:rPr>
                <w:rFonts w:hint="eastAsia" w:ascii="Times New Roman" w:hAnsi="Times New Roman" w:eastAsia="仿宋_GB2312" w:cs="仿宋_GB2312"/>
                <w:b/>
                <w:color w:val="000000" w:themeColor="text1"/>
                <w:sz w:val="40"/>
                <w:szCs w:val="40"/>
                <w14:textFill>
                  <w14:solidFill>
                    <w14:schemeClr w14:val="tx1"/>
                  </w14:solidFill>
                </w14:textFill>
              </w:rPr>
              <w:t>报告》</w:t>
            </w:r>
          </w:p>
        </w:tc>
      </w:tr>
      <w:tr w14:paraId="7C2E750A">
        <w:tblPrEx>
          <w:tblCellMar>
            <w:top w:w="0" w:type="dxa"/>
            <w:left w:w="108" w:type="dxa"/>
            <w:bottom w:w="0" w:type="dxa"/>
            <w:right w:w="108" w:type="dxa"/>
          </w:tblCellMar>
        </w:tblPrEx>
        <w:trPr>
          <w:trHeight w:val="781" w:hRule="atLeast"/>
          <w:jc w:val="center"/>
        </w:trPr>
        <w:tc>
          <w:tcPr>
            <w:tcW w:w="8080" w:type="dxa"/>
            <w:vAlign w:val="top"/>
          </w:tcPr>
          <w:tbl>
            <w:tblPr>
              <w:tblStyle w:val="11"/>
              <w:tblW w:w="7500" w:type="dxa"/>
              <w:jc w:val="center"/>
              <w:tblLayout w:type="fixed"/>
              <w:tblCellMar>
                <w:top w:w="0" w:type="dxa"/>
                <w:left w:w="108" w:type="dxa"/>
                <w:bottom w:w="0" w:type="dxa"/>
                <w:right w:w="108" w:type="dxa"/>
              </w:tblCellMar>
            </w:tblPr>
            <w:tblGrid>
              <w:gridCol w:w="7500"/>
            </w:tblGrid>
            <w:tr w14:paraId="11E28E4D">
              <w:tblPrEx>
                <w:tblCellMar>
                  <w:top w:w="0" w:type="dxa"/>
                  <w:left w:w="108" w:type="dxa"/>
                  <w:bottom w:w="0" w:type="dxa"/>
                  <w:right w:w="108" w:type="dxa"/>
                </w:tblCellMar>
              </w:tblPrEx>
              <w:trPr>
                <w:trHeight w:val="90" w:hRule="atLeast"/>
                <w:jc w:val="center"/>
              </w:trPr>
              <w:tc>
                <w:tcPr>
                  <w:tcW w:w="7500" w:type="dxa"/>
                  <w:vAlign w:val="top"/>
                </w:tcPr>
                <w:p w14:paraId="179E3CCA">
                  <w:pPr>
                    <w:pStyle w:val="15"/>
                    <w:ind w:left="420" w:firstLine="0" w:firstLineChars="0"/>
                    <w:rPr>
                      <w:rFonts w:hint="eastAsia" w:ascii="Times New Roman" w:hAnsi="Times New Roman" w:eastAsia="仿宋_GB2312" w:cs="仿宋_GB2312"/>
                      <w:b/>
                      <w:color w:val="000000" w:themeColor="text1"/>
                      <w:sz w:val="40"/>
                      <w:szCs w:val="40"/>
                      <w14:textFill>
                        <w14:solidFill>
                          <w14:schemeClr w14:val="tx1"/>
                        </w14:solidFill>
                      </w14:textFill>
                    </w:rPr>
                  </w:pPr>
                </w:p>
                <w:p w14:paraId="161EF01F">
                  <w:pPr>
                    <w:pStyle w:val="15"/>
                    <w:ind w:left="420" w:firstLine="0" w:firstLineChars="0"/>
                    <w:rPr>
                      <w:rFonts w:hint="eastAsia" w:ascii="Times New Roman" w:hAnsi="Times New Roman" w:eastAsia="仿宋_GB2312" w:cs="仿宋_GB2312"/>
                      <w:color w:val="000000" w:themeColor="text1"/>
                      <w:sz w:val="32"/>
                      <w:szCs w:val="32"/>
                      <w14:textFill>
                        <w14:solidFill>
                          <w14:schemeClr w14:val="tx1"/>
                        </w14:solidFill>
                      </w14:textFill>
                    </w:rPr>
                  </w:pPr>
                </w:p>
              </w:tc>
            </w:tr>
            <w:tr w14:paraId="560DE1B2">
              <w:tblPrEx>
                <w:tblCellMar>
                  <w:top w:w="0" w:type="dxa"/>
                  <w:left w:w="108" w:type="dxa"/>
                  <w:bottom w:w="0" w:type="dxa"/>
                  <w:right w:w="108" w:type="dxa"/>
                </w:tblCellMar>
              </w:tblPrEx>
              <w:trPr>
                <w:trHeight w:val="90" w:hRule="atLeast"/>
                <w:jc w:val="center"/>
              </w:trPr>
              <w:tc>
                <w:tcPr>
                  <w:tcW w:w="7500" w:type="dxa"/>
                  <w:vAlign w:val="top"/>
                </w:tcPr>
                <w:p w14:paraId="0682FEEB">
                  <w:pPr>
                    <w:spacing w:line="1000" w:lineRule="exact"/>
                    <w:jc w:val="center"/>
                    <w:rPr>
                      <w:rFonts w:hint="eastAsia" w:ascii="方正小标宋_GBK" w:hAnsi="方正小标宋_GBK" w:eastAsia="方正小标宋_GBK" w:cs="方正小标宋_GBK"/>
                      <w:b w:val="0"/>
                      <w:bCs/>
                      <w:color w:val="000000" w:themeColor="text1"/>
                      <w:sz w:val="68"/>
                      <w:szCs w:val="68"/>
                      <w14:textFill>
                        <w14:solidFill>
                          <w14:schemeClr w14:val="tx1"/>
                        </w14:solidFill>
                      </w14:textFill>
                    </w:rPr>
                  </w:pPr>
                  <w:r>
                    <w:rPr>
                      <w:rFonts w:hint="eastAsia" w:ascii="方正小标宋_GBK" w:hAnsi="方正小标宋_GBK" w:eastAsia="方正小标宋_GBK" w:cs="方正小标宋_GBK"/>
                      <w:b w:val="0"/>
                      <w:bCs/>
                      <w:color w:val="000000" w:themeColor="text1"/>
                      <w:sz w:val="68"/>
                      <w:szCs w:val="68"/>
                      <w14:textFill>
                        <w14:solidFill>
                          <w14:schemeClr w14:val="tx1"/>
                        </w14:solidFill>
                      </w14:textFill>
                    </w:rPr>
                    <w:t>矿产资源储量</w:t>
                  </w:r>
                </w:p>
                <w:p w14:paraId="2BE72271">
                  <w:pPr>
                    <w:spacing w:line="1000" w:lineRule="exact"/>
                    <w:jc w:val="center"/>
                    <w:rPr>
                      <w:rFonts w:hint="eastAsia" w:ascii="方正小标宋_GBK" w:hAnsi="方正小标宋_GBK" w:eastAsia="方正小标宋_GBK" w:cs="方正小标宋_GBK"/>
                      <w:b w:val="0"/>
                      <w:bCs/>
                      <w:color w:val="000000" w:themeColor="text1"/>
                      <w:sz w:val="68"/>
                      <w:szCs w:val="68"/>
                      <w14:textFill>
                        <w14:solidFill>
                          <w14:schemeClr w14:val="tx1"/>
                        </w14:solidFill>
                      </w14:textFill>
                    </w:rPr>
                  </w:pPr>
                  <w:r>
                    <w:rPr>
                      <w:rFonts w:hint="eastAsia" w:ascii="方正小标宋_GBK" w:hAnsi="方正小标宋_GBK" w:eastAsia="方正小标宋_GBK" w:cs="方正小标宋_GBK"/>
                      <w:b w:val="0"/>
                      <w:bCs/>
                      <w:color w:val="000000" w:themeColor="text1"/>
                      <w:sz w:val="68"/>
                      <w:szCs w:val="68"/>
                      <w14:textFill>
                        <w14:solidFill>
                          <w14:schemeClr w14:val="tx1"/>
                        </w14:solidFill>
                      </w14:textFill>
                    </w:rPr>
                    <w:t>评 审 意 见 书</w:t>
                  </w:r>
                </w:p>
              </w:tc>
            </w:tr>
            <w:tr w14:paraId="19335DDF">
              <w:tblPrEx>
                <w:tblCellMar>
                  <w:top w:w="0" w:type="dxa"/>
                  <w:left w:w="108" w:type="dxa"/>
                  <w:bottom w:w="0" w:type="dxa"/>
                  <w:right w:w="108" w:type="dxa"/>
                </w:tblCellMar>
              </w:tblPrEx>
              <w:trPr>
                <w:trHeight w:val="90" w:hRule="atLeast"/>
                <w:jc w:val="center"/>
              </w:trPr>
              <w:tc>
                <w:tcPr>
                  <w:tcW w:w="7500" w:type="dxa"/>
                  <w:vAlign w:val="top"/>
                </w:tcPr>
                <w:p w14:paraId="50ADA81E">
                  <w:pPr>
                    <w:jc w:val="center"/>
                    <w:rPr>
                      <w:rFonts w:hint="eastAsia" w:ascii="Times New Roman" w:hAnsi="Times New Roman" w:eastAsia="仿宋_GB2312" w:cs="仿宋_GB2312"/>
                      <w:color w:val="000000" w:themeColor="text1"/>
                      <w:sz w:val="32"/>
                      <w:szCs w:val="32"/>
                      <w14:textFill>
                        <w14:solidFill>
                          <w14:schemeClr w14:val="tx1"/>
                        </w14:solidFill>
                      </w14:textFill>
                    </w:rPr>
                  </w:pPr>
                </w:p>
              </w:tc>
            </w:tr>
            <w:tr w14:paraId="0A7B25D1">
              <w:tblPrEx>
                <w:tblCellMar>
                  <w:top w:w="0" w:type="dxa"/>
                  <w:left w:w="108" w:type="dxa"/>
                  <w:bottom w:w="0" w:type="dxa"/>
                  <w:right w:w="108" w:type="dxa"/>
                </w:tblCellMar>
              </w:tblPrEx>
              <w:trPr>
                <w:trHeight w:val="90" w:hRule="atLeast"/>
                <w:jc w:val="center"/>
              </w:trPr>
              <w:tc>
                <w:tcPr>
                  <w:tcW w:w="7500" w:type="dxa"/>
                  <w:vAlign w:val="top"/>
                </w:tcPr>
                <w:p w14:paraId="616BB69C">
                  <w:pPr>
                    <w:jc w:val="center"/>
                    <w:rPr>
                      <w:rFonts w:hint="eastAsia"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储审字〔</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号</w:t>
                  </w:r>
                </w:p>
                <w:p w14:paraId="44229FE9">
                  <w:pPr>
                    <w:pStyle w:val="2"/>
                    <w:rPr>
                      <w:rFonts w:hint="eastAsia"/>
                    </w:rPr>
                  </w:pPr>
                </w:p>
                <w:p w14:paraId="0B5452EE">
                  <w:pPr>
                    <w:rPr>
                      <w:rFonts w:hint="eastAsia"/>
                    </w:rPr>
                  </w:pPr>
                </w:p>
                <w:p w14:paraId="2B708BEB">
                  <w:pPr>
                    <w:pStyle w:val="2"/>
                    <w:rPr>
                      <w:rFonts w:hint="eastAsia"/>
                    </w:rPr>
                  </w:pPr>
                </w:p>
                <w:p w14:paraId="1001FF34">
                  <w:pPr>
                    <w:rPr>
                      <w:rFonts w:hint="eastAsia"/>
                    </w:rPr>
                  </w:pPr>
                </w:p>
                <w:p w14:paraId="2B53923C">
                  <w:pPr>
                    <w:pStyle w:val="2"/>
                    <w:rPr>
                      <w:rFonts w:hint="eastAsia"/>
                    </w:rPr>
                  </w:pPr>
                </w:p>
                <w:p w14:paraId="7F34C204">
                  <w:pPr>
                    <w:rPr>
                      <w:rFonts w:hint="eastAsia"/>
                    </w:rPr>
                  </w:pPr>
                </w:p>
                <w:p w14:paraId="4EF243ED">
                  <w:pPr>
                    <w:pStyle w:val="2"/>
                    <w:rPr>
                      <w:rFonts w:hint="eastAsia"/>
                    </w:rPr>
                  </w:pPr>
                </w:p>
                <w:p w14:paraId="299E02F0">
                  <w:pPr>
                    <w:rPr>
                      <w:rFonts w:hint="eastAsia"/>
                    </w:rPr>
                  </w:pPr>
                </w:p>
                <w:p w14:paraId="79FE2137">
                  <w:pPr>
                    <w:pStyle w:val="2"/>
                    <w:rPr>
                      <w:rFonts w:hint="eastAsia"/>
                    </w:rPr>
                  </w:pPr>
                </w:p>
                <w:p w14:paraId="600D4767">
                  <w:pPr>
                    <w:rPr>
                      <w:rFonts w:hint="eastAsia"/>
                    </w:rPr>
                  </w:pPr>
                </w:p>
                <w:p w14:paraId="43D13876">
                  <w:pPr>
                    <w:pStyle w:val="2"/>
                    <w:rPr>
                      <w:rFonts w:hint="eastAsia"/>
                    </w:rPr>
                  </w:pPr>
                </w:p>
                <w:p w14:paraId="16EED189">
                  <w:pPr>
                    <w:jc w:val="center"/>
                    <w:rPr>
                      <w:rFonts w:hint="eastAsia"/>
                    </w:rPr>
                  </w:pPr>
                  <w:r>
                    <w:rPr>
                      <w:rFonts w:hint="eastAsia" w:ascii="Times New Roman" w:hAnsi="Times New Roman" w:eastAsia="仿宋_GB2312" w:cs="仿宋_GB2312"/>
                      <w:color w:val="000000" w:themeColor="text1"/>
                      <w:sz w:val="32"/>
                      <w:szCs w:val="32"/>
                      <w14:textFill>
                        <w14:solidFill>
                          <w14:schemeClr w14:val="tx1"/>
                        </w14:solidFill>
                      </w14:textFill>
                    </w:rPr>
                    <w:t>20</w:t>
                  </w:r>
                  <w:r>
                    <w:rPr>
                      <w:rFonts w:hint="eastAsia" w:ascii="Times New Roman" w:hAnsi="Times New Roman" w:eastAsia="仿宋_GB2312" w:cs="仿宋_GB2312"/>
                      <w:snapToGrid w:val="0"/>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年</w:t>
                  </w:r>
                  <w:r>
                    <w:rPr>
                      <w:rFonts w:hint="eastAsia" w:ascii="Times New Roman" w:hAnsi="Times New Roman" w:eastAsia="仿宋_GB2312" w:cs="仿宋_GB2312"/>
                      <w:snapToGrid w:val="0"/>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月</w:t>
                  </w:r>
                  <w:r>
                    <w:rPr>
                      <w:rFonts w:hint="eastAsia" w:ascii="Times New Roman" w:hAnsi="Times New Roman" w:eastAsia="仿宋_GB2312" w:cs="仿宋_GB2312"/>
                      <w:snapToGrid w:val="0"/>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日</w:t>
                  </w:r>
                </w:p>
              </w:tc>
            </w:tr>
            <w:tr w14:paraId="2561A649">
              <w:tblPrEx>
                <w:tblCellMar>
                  <w:top w:w="0" w:type="dxa"/>
                  <w:left w:w="108" w:type="dxa"/>
                  <w:bottom w:w="0" w:type="dxa"/>
                  <w:right w:w="108" w:type="dxa"/>
                </w:tblCellMar>
              </w:tblPrEx>
              <w:trPr>
                <w:trHeight w:val="90" w:hRule="atLeast"/>
                <w:jc w:val="center"/>
              </w:trPr>
              <w:tc>
                <w:tcPr>
                  <w:tcW w:w="7500" w:type="dxa"/>
                  <w:vAlign w:val="top"/>
                </w:tcPr>
                <w:p w14:paraId="4F5AA0B7">
                  <w:pPr>
                    <w:overflowPunct w:val="0"/>
                    <w:spacing w:line="560" w:lineRule="exact"/>
                    <w:jc w:val="both"/>
                    <w:rPr>
                      <w:rFonts w:hint="eastAsia" w:ascii="Times New Roman" w:hAnsi="Times New Roman" w:eastAsia="仿宋_GB2312" w:cs="仿宋_GB2312"/>
                      <w:color w:val="000000" w:themeColor="text1"/>
                      <w:sz w:val="32"/>
                      <w:szCs w:val="32"/>
                      <w14:textFill>
                        <w14:solidFill>
                          <w14:schemeClr w14:val="tx1"/>
                        </w14:solidFill>
                      </w14:textFill>
                    </w:rPr>
                  </w:pPr>
                </w:p>
              </w:tc>
            </w:tr>
          </w:tbl>
          <w:p w14:paraId="5FC54797">
            <w:pPr>
              <w:jc w:val="center"/>
              <w:rPr>
                <w:rFonts w:hint="eastAsia" w:ascii="Times New Roman" w:hAnsi="Times New Roman" w:eastAsia="仿宋_GB2312" w:cs="仿宋_GB2312"/>
                <w:b/>
                <w:color w:val="000000" w:themeColor="text1"/>
                <w:sz w:val="68"/>
                <w:szCs w:val="68"/>
                <w:highlight w:val="none"/>
                <w:u w:val="none" w:color="auto"/>
                <w14:textFill>
                  <w14:solidFill>
                    <w14:schemeClr w14:val="tx1"/>
                  </w14:solidFill>
                </w14:textFill>
              </w:rPr>
            </w:pPr>
          </w:p>
        </w:tc>
      </w:tr>
    </w:tbl>
    <w:p w14:paraId="1419B2D2">
      <w:pPr>
        <w:jc w:val="center"/>
        <w:rPr>
          <w:rFonts w:ascii="Times New Roman" w:hAnsi="Times New Roman" w:cs="Times New Roman"/>
          <w:color w:val="000000" w:themeColor="text1"/>
          <w:sz w:val="32"/>
          <w:szCs w:val="32"/>
          <w:highlight w:val="none"/>
          <w:u w:val="none" w:color="auto"/>
          <w14:textFill>
            <w14:solidFill>
              <w14:schemeClr w14:val="tx1"/>
            </w14:solidFill>
          </w14:textFill>
        </w:rPr>
        <w:sectPr>
          <w:pgSz w:w="11906" w:h="16838"/>
          <w:pgMar w:top="1962" w:right="1474" w:bottom="1848" w:left="1587" w:header="851" w:footer="1417" w:gutter="0"/>
          <w:pgNumType w:fmt="decimal"/>
          <w:cols w:space="0" w:num="1"/>
          <w:rtlGutter w:val="0"/>
          <w:docGrid w:type="lines" w:linePitch="312" w:charSpace="0"/>
        </w:sectPr>
      </w:pPr>
    </w:p>
    <w:tbl>
      <w:tblPr>
        <w:tblStyle w:val="11"/>
        <w:tblW w:w="9232" w:type="dxa"/>
        <w:tblInd w:w="0" w:type="dxa"/>
        <w:tblLayout w:type="fixed"/>
        <w:tblCellMar>
          <w:top w:w="0" w:type="dxa"/>
          <w:left w:w="108" w:type="dxa"/>
          <w:bottom w:w="0" w:type="dxa"/>
          <w:right w:w="108" w:type="dxa"/>
        </w:tblCellMar>
      </w:tblPr>
      <w:tblGrid>
        <w:gridCol w:w="2161"/>
        <w:gridCol w:w="274"/>
        <w:gridCol w:w="6797"/>
      </w:tblGrid>
      <w:tr w14:paraId="7C38DECE">
        <w:tblPrEx>
          <w:tblCellMar>
            <w:top w:w="0" w:type="dxa"/>
            <w:left w:w="108" w:type="dxa"/>
            <w:bottom w:w="0" w:type="dxa"/>
            <w:right w:w="108" w:type="dxa"/>
          </w:tblCellMar>
        </w:tblPrEx>
        <w:trPr>
          <w:cantSplit/>
          <w:trHeight w:val="567" w:hRule="exact"/>
        </w:trPr>
        <w:tc>
          <w:tcPr>
            <w:tcW w:w="2161" w:type="dxa"/>
            <w:vAlign w:val="top"/>
          </w:tcPr>
          <w:p w14:paraId="0E175263">
            <w:pPr>
              <w:adjustRightInd w:val="0"/>
              <w:snapToGrid w:val="0"/>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t>报告提交单位</w:t>
            </w:r>
          </w:p>
        </w:tc>
        <w:tc>
          <w:tcPr>
            <w:tcW w:w="274" w:type="dxa"/>
            <w:vAlign w:val="top"/>
          </w:tcPr>
          <w:p w14:paraId="1E11F3FE">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07BFF896">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4C3EE613">
        <w:tblPrEx>
          <w:tblCellMar>
            <w:top w:w="0" w:type="dxa"/>
            <w:left w:w="108" w:type="dxa"/>
            <w:bottom w:w="0" w:type="dxa"/>
            <w:right w:w="108" w:type="dxa"/>
          </w:tblCellMar>
        </w:tblPrEx>
        <w:trPr>
          <w:cantSplit/>
          <w:trHeight w:val="567" w:hRule="exact"/>
        </w:trPr>
        <w:tc>
          <w:tcPr>
            <w:tcW w:w="2161" w:type="dxa"/>
            <w:vAlign w:val="top"/>
          </w:tcPr>
          <w:p w14:paraId="6A066F37">
            <w:pPr>
              <w:adjustRightInd w:val="0"/>
              <w:snapToGrid w:val="0"/>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报告编制单位</w:t>
            </w:r>
          </w:p>
        </w:tc>
        <w:tc>
          <w:tcPr>
            <w:tcW w:w="274" w:type="dxa"/>
            <w:vAlign w:val="top"/>
          </w:tcPr>
          <w:p w14:paraId="20F36F5A">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39B9F9F4">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278E4B43">
        <w:tblPrEx>
          <w:tblCellMar>
            <w:top w:w="0" w:type="dxa"/>
            <w:left w:w="108" w:type="dxa"/>
            <w:bottom w:w="0" w:type="dxa"/>
            <w:right w:w="108" w:type="dxa"/>
          </w:tblCellMar>
        </w:tblPrEx>
        <w:trPr>
          <w:cantSplit/>
          <w:trHeight w:val="567" w:hRule="exact"/>
        </w:trPr>
        <w:tc>
          <w:tcPr>
            <w:tcW w:w="2161" w:type="dxa"/>
            <w:vAlign w:val="top"/>
          </w:tcPr>
          <w:p w14:paraId="31A5701A">
            <w:pPr>
              <w:adjustRightInd w:val="0"/>
              <w:snapToGrid w:val="0"/>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highlight w:val="none"/>
                <w:u w:val="none" w:color="auto"/>
                <w:fitText w:val="1920" w:id="160190716"/>
                <w14:textFill>
                  <w14:solidFill>
                    <w14:schemeClr w14:val="tx1"/>
                  </w14:solidFill>
                </w14:textFill>
              </w:rPr>
              <w:t>报告主</w:t>
            </w:r>
            <w:r>
              <w:rPr>
                <w:rFonts w:hint="default" w:ascii="Times New Roman" w:hAnsi="Times New Roman" w:eastAsia="方正仿宋_GBK" w:cs="Times New Roman"/>
                <w:snapToGrid w:val="0"/>
                <w:color w:val="000000" w:themeColor="text1"/>
                <w:spacing w:val="2"/>
                <w:kern w:val="0"/>
                <w:sz w:val="32"/>
                <w:szCs w:val="32"/>
                <w:highlight w:val="none"/>
                <w:u w:val="none" w:color="auto"/>
                <w:fitText w:val="1920" w:id="160190716"/>
                <w14:textFill>
                  <w14:solidFill>
                    <w14:schemeClr w14:val="tx1"/>
                  </w14:solidFill>
                </w14:textFill>
              </w:rPr>
              <w:t>编</w:t>
            </w:r>
          </w:p>
        </w:tc>
        <w:tc>
          <w:tcPr>
            <w:tcW w:w="274" w:type="dxa"/>
            <w:vAlign w:val="top"/>
          </w:tcPr>
          <w:p w14:paraId="542069DD">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0AA1C1A9">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1176D55B">
        <w:tblPrEx>
          <w:tblCellMar>
            <w:top w:w="0" w:type="dxa"/>
            <w:left w:w="108" w:type="dxa"/>
            <w:bottom w:w="0" w:type="dxa"/>
            <w:right w:w="108" w:type="dxa"/>
          </w:tblCellMar>
        </w:tblPrEx>
        <w:trPr>
          <w:cantSplit/>
          <w:trHeight w:val="567" w:hRule="exact"/>
        </w:trPr>
        <w:tc>
          <w:tcPr>
            <w:tcW w:w="2161" w:type="dxa"/>
            <w:vAlign w:val="top"/>
          </w:tcPr>
          <w:p w14:paraId="21411952">
            <w:pPr>
              <w:spacing w:line="600" w:lineRule="exact"/>
              <w:jc w:val="center"/>
              <w:rPr>
                <w:rFonts w:hint="default" w:ascii="Times New Roman" w:hAnsi="Times New Roman" w:eastAsia="方正仿宋_GBK" w:cs="Times New Roman"/>
                <w:color w:val="000000" w:themeColor="text1"/>
                <w:spacing w:val="1600"/>
                <w:kern w:val="0"/>
                <w:sz w:val="32"/>
                <w:szCs w:val="32"/>
                <w:highlight w:val="none"/>
                <w:u w:val="none" w:color="auto"/>
                <w:fitText w:val="1920" w:id="7"/>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highlight w:val="none"/>
                <w:u w:val="none" w:color="auto"/>
                <w:fitText w:val="1920" w:id="2057376180"/>
                <w14:textFill>
                  <w14:solidFill>
                    <w14:schemeClr w14:val="tx1"/>
                  </w14:solidFill>
                </w14:textFill>
              </w:rPr>
              <w:t>报告</w:t>
            </w:r>
            <w:r>
              <w:rPr>
                <w:rFonts w:hint="default" w:ascii="Times New Roman" w:hAnsi="Times New Roman" w:eastAsia="方正仿宋_GBK" w:cs="Times New Roman"/>
                <w:snapToGrid w:val="0"/>
                <w:color w:val="000000" w:themeColor="text1"/>
                <w:spacing w:val="106"/>
                <w:kern w:val="0"/>
                <w:sz w:val="32"/>
                <w:szCs w:val="32"/>
                <w:highlight w:val="none"/>
                <w:u w:val="none" w:color="auto"/>
                <w:fitText w:val="1920" w:id="2057376180"/>
                <w:lang w:val="en-US" w:eastAsia="zh-CN"/>
                <w14:textFill>
                  <w14:solidFill>
                    <w14:schemeClr w14:val="tx1"/>
                  </w14:solidFill>
                </w14:textFill>
              </w:rPr>
              <w:t>审</w:t>
            </w:r>
            <w:r>
              <w:rPr>
                <w:rFonts w:hint="default" w:ascii="Times New Roman" w:hAnsi="Times New Roman" w:eastAsia="方正仿宋_GBK" w:cs="Times New Roman"/>
                <w:snapToGrid w:val="0"/>
                <w:color w:val="000000" w:themeColor="text1"/>
                <w:spacing w:val="2"/>
                <w:kern w:val="0"/>
                <w:sz w:val="32"/>
                <w:szCs w:val="32"/>
                <w:highlight w:val="none"/>
                <w:u w:val="none" w:color="auto"/>
                <w:fitText w:val="1920" w:id="2057376180"/>
                <w:lang w:val="en-US" w:eastAsia="zh-CN"/>
                <w14:textFill>
                  <w14:solidFill>
                    <w14:schemeClr w14:val="tx1"/>
                  </w14:solidFill>
                </w14:textFill>
              </w:rPr>
              <w:t>核</w:t>
            </w:r>
          </w:p>
        </w:tc>
        <w:tc>
          <w:tcPr>
            <w:tcW w:w="274" w:type="dxa"/>
            <w:vAlign w:val="top"/>
          </w:tcPr>
          <w:p w14:paraId="0B5A93AB">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p>
        </w:tc>
        <w:tc>
          <w:tcPr>
            <w:tcW w:w="6797" w:type="dxa"/>
            <w:vAlign w:val="center"/>
          </w:tcPr>
          <w:p w14:paraId="26342123">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0395B308">
        <w:tblPrEx>
          <w:tblCellMar>
            <w:top w:w="0" w:type="dxa"/>
            <w:left w:w="108" w:type="dxa"/>
            <w:bottom w:w="0" w:type="dxa"/>
            <w:right w:w="108" w:type="dxa"/>
          </w:tblCellMar>
        </w:tblPrEx>
        <w:trPr>
          <w:cantSplit/>
          <w:trHeight w:val="567" w:hRule="exact"/>
        </w:trPr>
        <w:tc>
          <w:tcPr>
            <w:tcW w:w="2161" w:type="dxa"/>
            <w:vAlign w:val="top"/>
          </w:tcPr>
          <w:p w14:paraId="33DD9442">
            <w:pPr>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color w:val="000000" w:themeColor="text1"/>
                <w:spacing w:val="40"/>
                <w:kern w:val="0"/>
                <w:sz w:val="32"/>
                <w:szCs w:val="32"/>
                <w:highlight w:val="none"/>
                <w:u w:val="none" w:color="auto"/>
                <w:fitText w:val="1920" w:id="1805203164"/>
                <w14:textFill>
                  <w14:solidFill>
                    <w14:schemeClr w14:val="tx1"/>
                  </w14:solidFill>
                </w14:textFill>
              </w:rPr>
              <w:t>评审专家</w:t>
            </w:r>
            <w:r>
              <w:rPr>
                <w:rFonts w:hint="default" w:ascii="Times New Roman" w:hAnsi="Times New Roman" w:eastAsia="方正仿宋_GBK" w:cs="Times New Roman"/>
                <w:color w:val="000000" w:themeColor="text1"/>
                <w:spacing w:val="0"/>
                <w:kern w:val="0"/>
                <w:sz w:val="32"/>
                <w:szCs w:val="32"/>
                <w:highlight w:val="none"/>
                <w:u w:val="none" w:color="auto"/>
                <w:fitText w:val="1920" w:id="1805203164"/>
                <w14:textFill>
                  <w14:solidFill>
                    <w14:schemeClr w14:val="tx1"/>
                  </w14:solidFill>
                </w14:textFill>
              </w:rPr>
              <w:t>组</w:t>
            </w:r>
          </w:p>
        </w:tc>
        <w:tc>
          <w:tcPr>
            <w:tcW w:w="274" w:type="dxa"/>
            <w:vAlign w:val="top"/>
          </w:tcPr>
          <w:p w14:paraId="17786532">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p>
        </w:tc>
        <w:tc>
          <w:tcPr>
            <w:tcW w:w="6797" w:type="dxa"/>
            <w:vAlign w:val="center"/>
          </w:tcPr>
          <w:p w14:paraId="26CA81DF">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组长</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p>
        </w:tc>
      </w:tr>
      <w:tr w14:paraId="5D997443">
        <w:tblPrEx>
          <w:tblCellMar>
            <w:top w:w="0" w:type="dxa"/>
            <w:left w:w="108" w:type="dxa"/>
            <w:bottom w:w="0" w:type="dxa"/>
            <w:right w:w="108" w:type="dxa"/>
          </w:tblCellMar>
        </w:tblPrEx>
        <w:trPr>
          <w:cantSplit/>
          <w:trHeight w:val="567" w:hRule="exact"/>
        </w:trPr>
        <w:tc>
          <w:tcPr>
            <w:tcW w:w="2161" w:type="dxa"/>
            <w:vAlign w:val="top"/>
          </w:tcPr>
          <w:p w14:paraId="32D7FE4D">
            <w:pPr>
              <w:adjustRightInd w:val="0"/>
              <w:snapToGrid w:val="0"/>
              <w:spacing w:line="600" w:lineRule="exact"/>
              <w:jc w:val="cente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pacing w:val="40"/>
                <w:kern w:val="0"/>
                <w:sz w:val="32"/>
                <w:szCs w:val="32"/>
                <w:highlight w:val="none"/>
                <w:u w:val="none" w:color="auto"/>
                <w:fitText w:val="1920" w:id="1878091209"/>
                <w14:textFill>
                  <w14:solidFill>
                    <w14:schemeClr w14:val="tx1"/>
                  </w14:solidFill>
                </w14:textFill>
              </w:rPr>
              <w:t>评审基准</w:t>
            </w:r>
            <w:r>
              <w:rPr>
                <w:rFonts w:hint="default" w:ascii="Times New Roman" w:hAnsi="Times New Roman" w:eastAsia="方正仿宋_GBK" w:cs="Times New Roman"/>
                <w:snapToGrid w:val="0"/>
                <w:color w:val="000000" w:themeColor="text1"/>
                <w:spacing w:val="0"/>
                <w:kern w:val="0"/>
                <w:sz w:val="32"/>
                <w:szCs w:val="32"/>
                <w:highlight w:val="none"/>
                <w:u w:val="none" w:color="auto"/>
                <w:fitText w:val="1920" w:id="1878091209"/>
                <w14:textFill>
                  <w14:solidFill>
                    <w14:schemeClr w14:val="tx1"/>
                  </w14:solidFill>
                </w14:textFill>
              </w:rPr>
              <w:t>日</w:t>
            </w:r>
          </w:p>
        </w:tc>
        <w:tc>
          <w:tcPr>
            <w:tcW w:w="274" w:type="dxa"/>
            <w:vAlign w:val="top"/>
          </w:tcPr>
          <w:p w14:paraId="30391241">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0664C963">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7723A5C9">
        <w:tblPrEx>
          <w:tblCellMar>
            <w:top w:w="0" w:type="dxa"/>
            <w:left w:w="108" w:type="dxa"/>
            <w:bottom w:w="0" w:type="dxa"/>
            <w:right w:w="108" w:type="dxa"/>
          </w:tblCellMar>
        </w:tblPrEx>
        <w:trPr>
          <w:cantSplit/>
          <w:trHeight w:val="567" w:hRule="exact"/>
        </w:trPr>
        <w:tc>
          <w:tcPr>
            <w:tcW w:w="2161" w:type="dxa"/>
            <w:vAlign w:val="top"/>
          </w:tcPr>
          <w:p w14:paraId="708C049A">
            <w:pPr>
              <w:adjustRightInd w:val="0"/>
              <w:snapToGrid w:val="0"/>
              <w:spacing w:line="600" w:lineRule="exact"/>
              <w:jc w:val="cente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pacing w:val="0"/>
                <w:kern w:val="0"/>
                <w:sz w:val="32"/>
                <w:szCs w:val="32"/>
                <w:highlight w:val="none"/>
                <w:u w:val="none" w:color="auto"/>
                <w:fitText w:val="1920" w:id="775119231"/>
                <w14:textFill>
                  <w14:solidFill>
                    <w14:schemeClr w14:val="tx1"/>
                  </w14:solidFill>
                </w14:textFill>
              </w:rPr>
              <w:t>评审会议时间</w:t>
            </w:r>
            <w: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t>(</w:t>
            </w:r>
          </w:p>
          <w:p w14:paraId="214A6E1F">
            <w:pPr>
              <w:adjustRightInd w:val="0"/>
              <w:snapToGrid w:val="0"/>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c>
          <w:tcPr>
            <w:tcW w:w="274" w:type="dxa"/>
            <w:vAlign w:val="top"/>
          </w:tcPr>
          <w:p w14:paraId="350A3642">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216311C1">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r w14:paraId="2CF56681">
        <w:tblPrEx>
          <w:tblCellMar>
            <w:top w:w="0" w:type="dxa"/>
            <w:left w:w="108" w:type="dxa"/>
            <w:bottom w:w="0" w:type="dxa"/>
            <w:right w:w="108" w:type="dxa"/>
          </w:tblCellMar>
        </w:tblPrEx>
        <w:trPr>
          <w:cantSplit/>
          <w:trHeight w:val="567" w:hRule="exact"/>
        </w:trPr>
        <w:tc>
          <w:tcPr>
            <w:tcW w:w="2161" w:type="dxa"/>
            <w:vAlign w:val="top"/>
          </w:tcPr>
          <w:p w14:paraId="47DAB638">
            <w:pPr>
              <w:adjustRightInd w:val="0"/>
              <w:snapToGrid w:val="0"/>
              <w:spacing w:line="600" w:lineRule="exact"/>
              <w:jc w:val="cente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pacing w:val="106"/>
                <w:kern w:val="0"/>
                <w:sz w:val="32"/>
                <w:szCs w:val="32"/>
                <w:highlight w:val="none"/>
                <w:u w:val="none" w:color="auto"/>
                <w:fitText w:val="1920" w:id="1367027627"/>
                <w14:textFill>
                  <w14:solidFill>
                    <w14:schemeClr w14:val="tx1"/>
                  </w14:solidFill>
                </w14:textFill>
              </w:rPr>
              <w:t>评审地</w:t>
            </w:r>
            <w:r>
              <w:rPr>
                <w:rFonts w:hint="default" w:ascii="Times New Roman" w:hAnsi="Times New Roman" w:eastAsia="方正仿宋_GBK" w:cs="Times New Roman"/>
                <w:snapToGrid w:val="0"/>
                <w:color w:val="000000" w:themeColor="text1"/>
                <w:spacing w:val="2"/>
                <w:kern w:val="0"/>
                <w:sz w:val="32"/>
                <w:szCs w:val="32"/>
                <w:highlight w:val="none"/>
                <w:u w:val="none" w:color="auto"/>
                <w:fitText w:val="1920" w:id="1367027627"/>
                <w14:textFill>
                  <w14:solidFill>
                    <w14:schemeClr w14:val="tx1"/>
                  </w14:solidFill>
                </w14:textFill>
              </w:rPr>
              <w:t>点</w:t>
            </w:r>
          </w:p>
        </w:tc>
        <w:tc>
          <w:tcPr>
            <w:tcW w:w="274" w:type="dxa"/>
            <w:vAlign w:val="top"/>
          </w:tcPr>
          <w:p w14:paraId="6904C9DB">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w:t>
            </w:r>
          </w:p>
        </w:tc>
        <w:tc>
          <w:tcPr>
            <w:tcW w:w="6797" w:type="dxa"/>
            <w:vAlign w:val="center"/>
          </w:tcPr>
          <w:p w14:paraId="1DB809E6">
            <w:pPr>
              <w:adjustRightInd w:val="0"/>
              <w:snapToGrid w:val="0"/>
              <w:spacing w:line="600" w:lineRule="exact"/>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p>
        </w:tc>
      </w:tr>
    </w:tbl>
    <w:p w14:paraId="26A2F7EF">
      <w:pPr>
        <w:spacing w:line="600" w:lineRule="exact"/>
        <w:ind w:right="-71" w:rightChars="-34"/>
        <w:rPr>
          <w:rFonts w:ascii="Times New Roman" w:hAnsi="Times New Roman" w:eastAsia="仿宋_GB2312" w:cs="Times New Roman"/>
          <w:bCs/>
          <w:color w:val="000000" w:themeColor="text1"/>
          <w:sz w:val="30"/>
          <w:szCs w:val="30"/>
          <w:highlight w:val="none"/>
          <w:u w:val="none" w:color="auto"/>
          <w14:textFill>
            <w14:solidFill>
              <w14:schemeClr w14:val="tx1"/>
            </w14:solidFill>
          </w14:textFill>
        </w:rPr>
      </w:pPr>
    </w:p>
    <w:p w14:paraId="3CF5D894">
      <w:pPr>
        <w:rPr>
          <w:rFonts w:ascii="Times New Roman" w:hAnsi="Times New Roman" w:eastAsia="仿宋_GB2312" w:cs="Times New Roman"/>
          <w:color w:val="000000" w:themeColor="text1"/>
          <w:sz w:val="30"/>
          <w:szCs w:val="30"/>
          <w:highlight w:val="none"/>
          <w:u w:val="none" w:color="auto"/>
          <w14:textFill>
            <w14:solidFill>
              <w14:schemeClr w14:val="tx1"/>
            </w14:solidFill>
          </w14:textFill>
        </w:rPr>
      </w:pPr>
    </w:p>
    <w:p w14:paraId="20A607D7">
      <w:pPr>
        <w:keepNext w:val="0"/>
        <w:keepLines w:val="0"/>
        <w:pageBreakBefore w:val="0"/>
        <w:widowControl w:val="0"/>
        <w:kinsoku/>
        <w:wordWrap/>
        <w:overflowPunct w:val="0"/>
        <w:topLinePunct w:val="0"/>
        <w:autoSpaceDE/>
        <w:autoSpaceDN/>
        <w:bidi w:val="0"/>
        <w:adjustRightInd/>
        <w:snapToGrid/>
        <w:spacing w:line="594" w:lineRule="exact"/>
        <w:ind w:firstLine="72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eastAsia" w:ascii="Times New Roman" w:hAnsi="Times New Roman" w:eastAsia="方正仿宋_GBK" w:cs="方正仿宋_GBK"/>
          <w:b w:val="0"/>
          <w:bCs w:val="0"/>
          <w:color w:val="000000" w:themeColor="text1"/>
          <w:kern w:val="2"/>
          <w:sz w:val="36"/>
          <w:szCs w:val="36"/>
          <w:highlight w:val="none"/>
          <w:u w:val="none" w:color="auto"/>
          <w:shd w:val="clear" w:color="auto" w:fill="auto"/>
          <w:lang w:val="en-US" w:eastAsia="zh-CN" w:bidi="ar-SA"/>
          <w14:textFill>
            <w14:solidFill>
              <w14:schemeClr w14:val="tx1"/>
            </w14:solidFill>
          </w14:textFill>
        </w:rPr>
        <w:br w:type="page"/>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为评估</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项目建设用地压覆重要矿产资源情况，</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（报告提交单位）委托</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编制完成了《</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报告》（以下简称报告），并于20</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年</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月</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日向</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主管部门名称</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提出了矿产资源储量评审备案申请。经审核，申请人报送的申请材料符合有关要求，于20</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年</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月</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日予以受理。</w:t>
      </w:r>
    </w:p>
    <w:p w14:paraId="03D2DD7A">
      <w:pPr>
        <w:keepNext w:val="0"/>
        <w:keepLines w:val="0"/>
        <w:pageBreakBefore w:val="0"/>
        <w:kinsoku/>
        <w:wordWrap/>
        <w:overflowPunct w:val="0"/>
        <w:topLinePunct w:val="0"/>
        <w:autoSpaceDE/>
        <w:autoSpaceDN/>
        <w:bidi w:val="0"/>
        <w:adjustRightInd w:val="0"/>
        <w:snapToGrid w:val="0"/>
        <w:spacing w:line="594" w:lineRule="exact"/>
        <w:ind w:firstLine="640" w:firstLineChars="200"/>
        <w:textAlignment w:val="auto"/>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××（评审机构</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名称</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t>随机抽取</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kern w:val="0"/>
          <w:sz w:val="32"/>
          <w:szCs w:val="32"/>
          <w:highlight w:val="none"/>
          <w:u w:val="none" w:color="auto"/>
          <w14:textFill>
            <w14:solidFill>
              <w14:schemeClr w14:val="tx1"/>
            </w14:solidFill>
          </w14:textFill>
        </w:rPr>
        <w:t>名评审专家组成报告评审专家组，于</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20</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年</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月</w:t>
      </w:r>
      <w:r>
        <w:rPr>
          <w:rFonts w:hint="default" w:ascii="Times New Roman" w:hAnsi="Times New Roman" w:eastAsia="方正仿宋_GBK" w:cs="Times New Roman"/>
          <w:snapToGrid w:val="0"/>
          <w:color w:val="000000" w:themeColor="text1"/>
          <w:sz w:val="32"/>
          <w:szCs w:val="32"/>
          <w:highlight w:val="none"/>
          <w:u w:val="none" w:color="auto"/>
          <w:lang w:eastAsia="zh-CN"/>
          <w14:textFill>
            <w14:solidFill>
              <w14:schemeClr w14:val="tx1"/>
            </w14:solidFill>
          </w14:textFill>
        </w:rPr>
        <w:t>××</w:t>
      </w:r>
      <w:r>
        <w:rPr>
          <w:rFonts w:hint="default" w:ascii="Times New Roman" w:hAnsi="Times New Roman" w:eastAsia="方正仿宋_GBK" w:cs="Times New Roman"/>
          <w:snapToGrid w:val="0"/>
          <w:color w:val="000000" w:themeColor="text1"/>
          <w:sz w:val="32"/>
          <w:szCs w:val="32"/>
          <w:highlight w:val="none"/>
          <w:u w:val="none" w:color="auto"/>
          <w14:textFill>
            <w14:solidFill>
              <w14:schemeClr w14:val="tx1"/>
            </w14:solidFill>
          </w14:textFill>
        </w:rPr>
        <w:t>日召开评审会议，对报告提交的矿产资源储量进行了评审。经评审、复核，形成评审意见如下：</w:t>
      </w:r>
    </w:p>
    <w:p w14:paraId="665F07C7">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color w:val="000000" w:themeColor="text1"/>
          <w:spacing w:val="0"/>
          <w:sz w:val="32"/>
          <w:szCs w:val="32"/>
          <w:highlight w:val="none"/>
          <w:u w:val="none" w:color="auto"/>
          <w:shd w:val="clear" w:color="auto" w:fill="auto"/>
          <w:lang w:val="en-US" w:eastAsia="zh-CN"/>
          <w14:textFill>
            <w14:solidFill>
              <w14:schemeClr w14:val="tx1"/>
            </w14:solidFill>
          </w14:textFill>
        </w:rPr>
        <w:t>简述</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报告评</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审</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目的</w:t>
      </w:r>
      <w:r>
        <w:rPr>
          <w:rFonts w:hint="default" w:ascii="Times New Roman" w:hAnsi="Times New Roman" w:eastAsia="方正仿宋_GBK" w:cs="Times New Roman"/>
          <w:color w:val="000000" w:themeColor="text1"/>
          <w:spacing w:val="0"/>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u w:val="none" w:color="auto"/>
          <w:shd w:val="clear" w:color="auto" w:fill="auto"/>
          <w:lang w:val="en-US" w:eastAsia="zh-CN"/>
          <w14:textFill>
            <w14:solidFill>
              <w14:schemeClr w14:val="tx1"/>
            </w14:solidFill>
          </w14:textFill>
        </w:rPr>
        <w:t>评审时间、专家组成</w:t>
      </w:r>
      <w:r>
        <w:rPr>
          <w:rFonts w:hint="default" w:ascii="Times New Roman" w:hAnsi="Times New Roman" w:eastAsia="方正仿宋_GBK" w:cs="Times New Roman"/>
          <w:color w:val="000000" w:themeColor="text1"/>
          <w:spacing w:val="0"/>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pacing w:val="0"/>
          <w:sz w:val="32"/>
          <w:szCs w:val="32"/>
          <w:highlight w:val="none"/>
          <w:u w:val="none" w:color="auto"/>
          <w:shd w:val="clear" w:color="auto" w:fill="auto"/>
          <w:lang w:val="en-US" w:eastAsia="zh-CN"/>
          <w14:textFill>
            <w14:solidFill>
              <w14:schemeClr w14:val="tx1"/>
            </w14:solidFill>
          </w14:textFill>
        </w:rPr>
        <w:t>以及</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评</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审意见书</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形成的简</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要</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过程</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w:t>
      </w:r>
    </w:p>
    <w:p w14:paraId="7B536B47">
      <w:pPr>
        <w:widowControl w:val="0"/>
        <w:overflowPunct w:val="0"/>
        <w:adjustRightInd w:val="0"/>
        <w:snapToGrid w:val="0"/>
        <w:spacing w:before="0" w:line="594" w:lineRule="exact"/>
        <w:ind w:left="0" w:right="0" w:firstLine="640" w:firstLineChars="200"/>
        <w:jc w:val="left"/>
        <w:rPr>
          <w:rFonts w:hint="default" w:ascii="方正黑体_GBK" w:hAnsi="方正黑体_GBK" w:eastAsia="方正黑体_GBK" w:cs="方正黑体_GBK"/>
          <w:b w:val="0"/>
          <w:bCs w:val="0"/>
          <w:snapToGrid w:val="0"/>
          <w:color w:val="000000" w:themeColor="text1"/>
          <w:sz w:val="32"/>
          <w:szCs w:val="32"/>
          <w:highlight w:val="none"/>
          <w:u w:val="none" w:color="auto"/>
          <w:shd w:val="clear" w:color="auto" w:fill="auto"/>
          <w14:textFill>
            <w14:solidFill>
              <w14:schemeClr w14:val="tx1"/>
            </w14:solidFill>
          </w14:textFill>
        </w:rPr>
      </w:pPr>
      <w:r>
        <w:rPr>
          <w:rFonts w:hint="default"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14:textFill>
            <w14:solidFill>
              <w14:schemeClr w14:val="tx1"/>
            </w14:solidFill>
          </w14:textFill>
        </w:rPr>
        <w:t>一</w:t>
      </w:r>
      <w:r>
        <w:rPr>
          <w:rFonts w:hint="default" w:ascii="方正黑体_GBK" w:hAnsi="方正黑体_GBK" w:eastAsia="方正黑体_GBK" w:cs="方正黑体_GBK"/>
          <w:b w:val="0"/>
          <w:bCs w:val="0"/>
          <w:snapToGrid w:val="0"/>
          <w:color w:val="000000" w:themeColor="text1"/>
          <w:spacing w:val="0"/>
          <w:w w:val="100"/>
          <w:sz w:val="32"/>
          <w:szCs w:val="32"/>
          <w:highlight w:val="none"/>
          <w:u w:val="none" w:color="auto"/>
          <w:shd w:val="clear" w:color="auto" w:fill="auto"/>
          <w14:textFill>
            <w14:solidFill>
              <w14:schemeClr w14:val="tx1"/>
            </w14:solidFill>
          </w14:textFill>
        </w:rPr>
        <w:t>、概况</w:t>
      </w:r>
    </w:p>
    <w:p w14:paraId="5514A3B4">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简述项目基本信息及批准情况，建设项目构筑物保护等级和围护带宽度、</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查询</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范围。对地层、构造、重要矿产进行简要介绍，论述与</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查询范围</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重叠的矿业权、矿产地及其剩余资源量和矿石质量情况。</w:t>
      </w:r>
    </w:p>
    <w:p w14:paraId="23E1046D">
      <w:pPr>
        <w:widowControl w:val="0"/>
        <w:overflowPunct w:val="0"/>
        <w:adjustRightInd/>
        <w:snapToGrid/>
        <w:spacing w:before="0" w:line="594" w:lineRule="exact"/>
        <w:ind w:left="0" w:right="0" w:firstLine="640" w:firstLineChars="200"/>
        <w:jc w:val="both"/>
        <w:rPr>
          <w:rFonts w:hint="default" w:ascii="方正黑体_GBK" w:hAnsi="方正黑体_GBK" w:eastAsia="方正黑体_GBK" w:cs="方正黑体_GBK"/>
          <w:b w:val="0"/>
          <w:bCs w:val="0"/>
          <w:snapToGrid w:val="0"/>
          <w:color w:val="000000" w:themeColor="text1"/>
          <w:sz w:val="32"/>
          <w:szCs w:val="32"/>
          <w:highlight w:val="none"/>
          <w:u w:val="none" w:color="auto"/>
          <w:shd w:val="clear" w:color="auto" w:fill="auto"/>
          <w:lang w:val="en-US" w:eastAsia="zh-CN"/>
          <w14:textFill>
            <w14:solidFill>
              <w14:schemeClr w14:val="tx1"/>
            </w14:solidFill>
          </w14:textFill>
        </w:rPr>
      </w:pPr>
      <w:r>
        <w:rPr>
          <w:rFonts w:hint="default"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14:textFill>
            <w14:solidFill>
              <w14:schemeClr w14:val="tx1"/>
            </w14:solidFill>
          </w14:textFill>
        </w:rPr>
        <w:t>二</w:t>
      </w:r>
      <w:r>
        <w:rPr>
          <w:rFonts w:hint="default" w:ascii="方正黑体_GBK" w:hAnsi="方正黑体_GBK" w:eastAsia="方正黑体_GBK" w:cs="方正黑体_GBK"/>
          <w:b w:val="0"/>
          <w:bCs w:val="0"/>
          <w:snapToGrid w:val="0"/>
          <w:color w:val="000000" w:themeColor="text1"/>
          <w:spacing w:val="0"/>
          <w:w w:val="100"/>
          <w:sz w:val="32"/>
          <w:szCs w:val="32"/>
          <w:highlight w:val="none"/>
          <w:u w:val="none" w:color="auto"/>
          <w:shd w:val="clear" w:color="auto" w:fill="auto"/>
          <w14:textFill>
            <w14:solidFill>
              <w14:schemeClr w14:val="tx1"/>
            </w14:solidFill>
          </w14:textFill>
        </w:rPr>
        <w:t>、</w:t>
      </w:r>
      <w:r>
        <w:rPr>
          <w:rFonts w:hint="default" w:ascii="方正黑体_GBK" w:hAnsi="方正黑体_GBK" w:eastAsia="方正黑体_GBK" w:cs="方正黑体_GBK"/>
          <w:b w:val="0"/>
          <w:bCs w:val="0"/>
          <w:snapToGrid w:val="0"/>
          <w:color w:val="000000" w:themeColor="text1"/>
          <w:spacing w:val="0"/>
          <w:w w:val="100"/>
          <w:sz w:val="32"/>
          <w:szCs w:val="32"/>
          <w:highlight w:val="none"/>
          <w:u w:val="none" w:color="auto"/>
          <w:shd w:val="clear" w:color="auto" w:fill="auto"/>
          <w:lang w:val="en-US" w:eastAsia="zh-CN"/>
          <w14:textFill>
            <w14:solidFill>
              <w14:schemeClr w14:val="tx1"/>
            </w14:solidFill>
          </w14:textFill>
        </w:rPr>
        <w:t>申报情况</w:t>
      </w:r>
    </w:p>
    <w:p w14:paraId="13DF0A79">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项目压覆</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重要矿产资源</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论证情况，确定压覆范围的参数、方法、过程，评估确定的压覆矿区、</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矿体</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和压覆资源量估算结果</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及变化情况</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w:t>
      </w:r>
    </w:p>
    <w:p w14:paraId="0EEA28C4">
      <w:pPr>
        <w:widowControl w:val="0"/>
        <w:overflowPunct w:val="0"/>
        <w:adjustRightInd w:val="0"/>
        <w:snapToGrid w:val="0"/>
        <w:spacing w:before="0" w:line="594" w:lineRule="exact"/>
        <w:ind w:left="0" w:right="0" w:firstLine="640" w:firstLineChars="200"/>
        <w:jc w:val="left"/>
        <w:rPr>
          <w:rFonts w:hint="default"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lang w:val="en-US" w:eastAsia="zh-CN"/>
          <w14:textFill>
            <w14:solidFill>
              <w14:schemeClr w14:val="tx1"/>
            </w14:solidFill>
          </w14:textFill>
        </w:rPr>
      </w:pPr>
      <w:r>
        <w:rPr>
          <w:rFonts w:hint="default"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lang w:val="en-US" w:eastAsia="zh-CN"/>
          <w14:textFill>
            <w14:solidFill>
              <w14:schemeClr w14:val="tx1"/>
            </w14:solidFill>
          </w14:textFill>
        </w:rPr>
        <w:t>三、评审情况</w:t>
      </w:r>
    </w:p>
    <w:p w14:paraId="26A0D62E">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简述评审依据。主要评审意见：收集利用的地质工作资料的可靠性，本次调查评估工作方法、工作质量合理性和合规性；不可避免性论证是否充分，评估参数确定、评估方法和评估结果及矿产资源储量估算结果及压覆影响评价的合理性和合规性；存在问题与建议；评审专家的主要分歧意见等。</w:t>
      </w:r>
    </w:p>
    <w:p w14:paraId="647E2205">
      <w:pPr>
        <w:widowControl w:val="0"/>
        <w:overflowPunct w:val="0"/>
        <w:adjustRightInd w:val="0"/>
        <w:snapToGrid w:val="0"/>
        <w:spacing w:before="0" w:line="594" w:lineRule="exact"/>
        <w:ind w:left="0" w:right="0" w:firstLine="640" w:firstLineChars="200"/>
        <w:jc w:val="left"/>
        <w:rPr>
          <w:rFonts w:hint="default" w:ascii="Times New Roman" w:hAnsi="Times New Roman" w:eastAsia="方正仿宋_GBK" w:cs="Times New Roman"/>
          <w:b w:val="0"/>
          <w:bCs w:val="0"/>
          <w:snapToGrid w:val="0"/>
          <w:color w:val="000000" w:themeColor="text1"/>
          <w:w w:val="100"/>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b w:val="0"/>
          <w:bCs w:val="0"/>
          <w:snapToGrid w:val="0"/>
          <w:color w:val="000000" w:themeColor="text1"/>
          <w:w w:val="100"/>
          <w:sz w:val="32"/>
          <w:szCs w:val="32"/>
          <w:highlight w:val="none"/>
          <w:u w:val="none" w:color="auto"/>
          <w:shd w:val="clear" w:color="auto" w:fill="auto"/>
          <w14:textFill>
            <w14:solidFill>
              <w14:schemeClr w14:val="tx1"/>
            </w14:solidFill>
          </w14:textFill>
        </w:rPr>
        <w:t>四、评审结论</w:t>
      </w:r>
    </w:p>
    <w:p w14:paraId="7717A3C1">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评述压覆矿产资源储量估算及报告编制的合规性，评审通过的矿产资源储量可靠性，评审意见有效期等。</w:t>
      </w:r>
    </w:p>
    <w:p w14:paraId="020A9312">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建议予以／不予评审备案。</w:t>
      </w:r>
    </w:p>
    <w:p w14:paraId="184FFE74">
      <w:pPr>
        <w:widowControl w:val="0"/>
        <w:overflowPunct w:val="0"/>
        <w:adjustRightInd w:val="0"/>
        <w:snapToGrid w:val="0"/>
        <w:spacing w:before="0" w:line="594" w:lineRule="exact"/>
        <w:ind w:left="0" w:right="0" w:firstLine="640" w:firstLineChars="200"/>
        <w:jc w:val="left"/>
        <w:rPr>
          <w:rFonts w:hint="eastAsia"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14:textFill>
            <w14:solidFill>
              <w14:schemeClr w14:val="tx1"/>
            </w14:solidFill>
          </w14:textFill>
        </w:rPr>
      </w:pPr>
      <w:r>
        <w:rPr>
          <w:rFonts w:hint="eastAsia" w:ascii="方正黑体_GBK" w:hAnsi="方正黑体_GBK" w:eastAsia="方正黑体_GBK" w:cs="方正黑体_GBK"/>
          <w:b w:val="0"/>
          <w:bCs w:val="0"/>
          <w:snapToGrid w:val="0"/>
          <w:color w:val="000000" w:themeColor="text1"/>
          <w:w w:val="100"/>
          <w:sz w:val="32"/>
          <w:szCs w:val="32"/>
          <w:highlight w:val="none"/>
          <w:u w:val="none" w:color="auto"/>
          <w:shd w:val="clear" w:color="auto" w:fill="auto"/>
          <w14:textFill>
            <w14:solidFill>
              <w14:schemeClr w14:val="tx1"/>
            </w14:solidFill>
          </w14:textFill>
        </w:rPr>
        <w:t>五、问题与建议</w:t>
      </w:r>
    </w:p>
    <w:p w14:paraId="6B6F7700">
      <w:pPr>
        <w:keepNext w:val="0"/>
        <w:keepLines w:val="0"/>
        <w:pageBreakBefore w:val="0"/>
        <w:widowControl w:val="0"/>
        <w:kinsoku/>
        <w:wordWrap/>
        <w:overflowPunct w:val="0"/>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pP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评述压覆区域对</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矿产资源勘查开发</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的影响</w:t>
      </w:r>
      <w:r>
        <w:rPr>
          <w:rFonts w:hint="eastAsia" w:eastAsia="方正仿宋_GBK" w:cs="Times New Roman"/>
          <w:snapToGrid w:val="0"/>
          <w:color w:val="000000" w:themeColor="text1"/>
          <w:sz w:val="32"/>
          <w:szCs w:val="32"/>
          <w:highlight w:val="none"/>
          <w:u w:val="none" w:color="auto"/>
          <w:lang w:val="en-US" w:eastAsia="zh-CN"/>
          <w14:textFill>
            <w14:solidFill>
              <w14:schemeClr w14:val="tx1"/>
            </w14:solidFill>
          </w14:textFill>
        </w:rPr>
        <w:t>及建议</w:t>
      </w:r>
      <w:r>
        <w:rPr>
          <w:rFonts w:hint="default" w:ascii="Times New Roman" w:hAnsi="Times New Roman" w:eastAsia="方正仿宋_GBK" w:cs="Times New Roman"/>
          <w:snapToGrid w:val="0"/>
          <w:color w:val="000000" w:themeColor="text1"/>
          <w:sz w:val="32"/>
          <w:szCs w:val="32"/>
          <w:highlight w:val="none"/>
          <w:u w:val="none" w:color="auto"/>
          <w:lang w:val="en-US" w:eastAsia="zh-CN"/>
          <w14:textFill>
            <w14:solidFill>
              <w14:schemeClr w14:val="tx1"/>
            </w14:solidFill>
          </w14:textFill>
        </w:rPr>
        <w:t>。</w:t>
      </w:r>
    </w:p>
    <w:p w14:paraId="023184AE">
      <w:pPr>
        <w:overflowPunct w:val="0"/>
        <w:spacing w:before="0" w:line="594" w:lineRule="exact"/>
        <w:ind w:firstLine="640" w:firstLineChars="200"/>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p>
    <w:p w14:paraId="223E9226">
      <w:pPr>
        <w:overflowPunct w:val="0"/>
        <w:spacing w:line="594" w:lineRule="exact"/>
        <w:ind w:right="-128" w:rightChars="-61" w:firstLine="627" w:firstLineChars="196"/>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附</w:t>
      </w:r>
      <w:r>
        <w:rPr>
          <w:rFonts w:hint="eastAsia" w:eastAsia="方正仿宋_GBK" w:cs="Times New Roman"/>
          <w:color w:val="000000" w:themeColor="text1"/>
          <w:spacing w:val="0"/>
          <w:sz w:val="32"/>
          <w:szCs w:val="32"/>
          <w:highlight w:val="none"/>
          <w:u w:val="none" w:color="auto"/>
          <w:shd w:val="clear" w:color="auto" w:fill="auto"/>
          <w:lang w:eastAsia="zh-CN"/>
          <w14:textFill>
            <w14:solidFill>
              <w14:schemeClr w14:val="tx1"/>
            </w14:solidFill>
          </w14:textFill>
        </w:rPr>
        <w:t>件</w:t>
      </w:r>
      <w:r>
        <w:rPr>
          <w:rFonts w:hint="default" w:ascii="Times New Roman" w:hAnsi="Times New Roman" w:eastAsia="方正仿宋_GBK" w:cs="Times New Roman"/>
          <w:color w:val="000000" w:themeColor="text1"/>
          <w:spacing w:val="0"/>
          <w:sz w:val="32"/>
          <w:szCs w:val="32"/>
          <w:highlight w:val="none"/>
          <w:u w:val="none" w:color="auto"/>
          <w:shd w:val="clear" w:color="auto" w:fill="auto"/>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项目</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建设用地</w:t>
      </w: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红线</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范围拐点坐标表</w:t>
      </w:r>
    </w:p>
    <w:p w14:paraId="202B9A69">
      <w:pPr>
        <w:overflowPunct w:val="0"/>
        <w:spacing w:line="600" w:lineRule="exact"/>
        <w:ind w:right="0" w:rightChars="0" w:firstLine="1600" w:firstLineChars="500"/>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压覆</w:t>
      </w: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矿产资源量估算</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范围拐点坐标表</w:t>
      </w:r>
    </w:p>
    <w:p w14:paraId="78B2C7CE">
      <w:pPr>
        <w:overflowPunct w:val="0"/>
        <w:spacing w:line="600" w:lineRule="exact"/>
        <w:ind w:right="0" w:rightChars="0" w:firstLine="1600" w:firstLineChars="500"/>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3</w:t>
      </w:r>
      <w:r>
        <w:rPr>
          <w:rFonts w:hint="eastAsia"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压覆矿产资源储量汇总表</w:t>
      </w:r>
    </w:p>
    <w:p w14:paraId="35AF2C36">
      <w:pPr>
        <w:overflowPunct w:val="0"/>
        <w:spacing w:line="600" w:lineRule="exact"/>
        <w:ind w:right="0" w:rightChars="0" w:firstLine="1600" w:firstLineChars="500"/>
        <w:jc w:val="left"/>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4</w:t>
      </w:r>
      <w:r>
        <w:rPr>
          <w:rFonts w:hint="eastAsia" w:ascii="Times New Roman" w:hAnsi="Times New Roman" w:eastAsia="方正仿宋_GBK" w:cs="Times New Roman"/>
          <w:color w:val="000000" w:themeColor="text1"/>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压覆范围</w:t>
      </w:r>
      <w:r>
        <w:rPr>
          <w:rFonts w:hint="default" w:ascii="Times New Roman" w:hAnsi="Times New Roman" w:eastAsia="方正仿宋_GBK" w:cs="Times New Roman"/>
          <w:color w:val="000000" w:themeColor="text1"/>
          <w:sz w:val="32"/>
          <w:szCs w:val="32"/>
          <w:highlight w:val="none"/>
          <w:u w:val="none" w:color="auto"/>
          <w:shd w:val="clear" w:color="auto" w:fill="auto"/>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剩余资源量范围叠合</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图</w:t>
      </w:r>
    </w:p>
    <w:p w14:paraId="7BA2E59A">
      <w:pPr>
        <w:overflowPunct w:val="0"/>
        <w:spacing w:line="600" w:lineRule="exact"/>
        <w:ind w:right="0" w:rightChars="0" w:firstLine="1600" w:firstLineChars="500"/>
        <w:jc w:val="left"/>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pPr>
      <w:r>
        <w:rPr>
          <w:rFonts w:hint="default"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5</w:t>
      </w:r>
      <w:r>
        <w:rPr>
          <w:rFonts w:hint="eastAsia" w:ascii="Times New Roman" w:hAnsi="Times New Roman" w:eastAsia="方正仿宋_GBK" w:cs="Times New Roman"/>
          <w:color w:val="000000" w:themeColor="text1"/>
          <w:sz w:val="32"/>
          <w:szCs w:val="32"/>
          <w:highlight w:val="none"/>
          <w:u w:val="none" w:color="auto"/>
          <w:shd w:val="clear" w:color="auto" w:fill="auto"/>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u w:val="none" w:color="auto"/>
          <w:shd w:val="clear" w:color="auto" w:fill="auto"/>
          <w14:textFill>
            <w14:solidFill>
              <w14:schemeClr w14:val="tx1"/>
            </w14:solidFill>
          </w14:textFill>
        </w:rPr>
        <w:t>评审专家组签名表</w:t>
      </w:r>
    </w:p>
    <w:p w14:paraId="071CB64F">
      <w:pPr>
        <w:adjustRightInd w:val="0"/>
        <w:snapToGrid w:val="0"/>
        <w:spacing w:line="560" w:lineRule="exact"/>
        <w:jc w:val="left"/>
        <w:outlineLvl w:val="0"/>
        <w:rPr>
          <w:rFonts w:hint="eastAsia" w:ascii="Times New Roman" w:hAnsi="Times New Roman" w:eastAsia="方正黑体_GBK" w:cs="Times New Roman"/>
          <w:color w:val="000000" w:themeColor="text1"/>
          <w:sz w:val="32"/>
          <w:szCs w:val="32"/>
          <w:lang w:eastAsia="zh-CN"/>
          <w14:textFill>
            <w14:solidFill>
              <w14:schemeClr w14:val="tx1"/>
            </w14:solidFill>
          </w14:textFill>
        </w:rPr>
      </w:pPr>
      <w:r>
        <w:rPr>
          <w:rFonts w:hint="default" w:eastAsia="方正仿宋_GBK"/>
          <w:color w:val="000000" w:themeColor="text1"/>
          <w14:textFill>
            <w14:solidFill>
              <w14:schemeClr w14:val="tx1"/>
            </w14:solidFill>
          </w14:textFill>
        </w:rPr>
        <w:br w:type="page"/>
      </w:r>
      <w:r>
        <w:rPr>
          <w:rFonts w:hint="eastAsia" w:ascii="Times New Roman" w:hAnsi="Times New Roman" w:eastAsia="方正黑体_GBK" w:cs="方正黑体_GBK"/>
          <w:color w:val="000000" w:themeColor="text1"/>
          <w:sz w:val="32"/>
          <w:szCs w:val="32"/>
          <w14:textFill>
            <w14:solidFill>
              <w14:schemeClr w14:val="tx1"/>
            </w14:solidFill>
          </w14:textFill>
        </w:rPr>
        <w:t>附</w:t>
      </w:r>
      <w:r>
        <w:rPr>
          <w:rFonts w:hint="eastAsia" w:eastAsia="方正黑体_GBK" w:cs="方正黑体_GBK"/>
          <w:color w:val="000000" w:themeColor="text1"/>
          <w:sz w:val="32"/>
          <w:szCs w:val="32"/>
          <w:lang w:eastAsia="zh-CN"/>
          <w14:textFill>
            <w14:solidFill>
              <w14:schemeClr w14:val="tx1"/>
            </w14:solidFill>
          </w14:textFill>
        </w:rPr>
        <w:t>件</w:t>
      </w:r>
      <w:r>
        <w:rPr>
          <w:rFonts w:hint="eastAsia" w:ascii="Times New Roman" w:hAnsi="Times New Roman" w:eastAsia="方正黑体_GBK" w:cs="方正黑体_GBK"/>
          <w:color w:val="000000" w:themeColor="text1"/>
          <w:sz w:val="32"/>
          <w:szCs w:val="32"/>
          <w:lang w:val="en-US" w:eastAsia="zh-CN"/>
          <w14:textFill>
            <w14:solidFill>
              <w14:schemeClr w14:val="tx1"/>
            </w14:solidFill>
          </w14:textFill>
        </w:rPr>
        <w:t>4</w:t>
      </w:r>
    </w:p>
    <w:p w14:paraId="4CEB61A7">
      <w:pPr>
        <w:adjustRightInd w:val="0"/>
        <w:snapToGrid w:val="0"/>
        <w:spacing w:line="560" w:lineRule="exact"/>
        <w:jc w:val="center"/>
        <w:outlineLvl w:val="0"/>
        <w:rPr>
          <w:rFonts w:hint="eastAsia" w:ascii="Times New Roman" w:hAnsi="Times New Roman" w:eastAsia="方正小标宋_GBK" w:cs="方正小标宋_GBK"/>
          <w:color w:val="000000" w:themeColor="text1"/>
          <w:sz w:val="44"/>
          <w:szCs w:val="44"/>
          <w:highlight w:val="none"/>
          <w:u w:val="none" w:color="auto"/>
          <w:lang w:val="en-US" w:eastAsia="zh-CN"/>
          <w14:textFill>
            <w14:solidFill>
              <w14:schemeClr w14:val="tx1"/>
            </w14:solidFill>
          </w14:textFill>
        </w:rPr>
      </w:pPr>
      <w:r>
        <w:rPr>
          <w:rFonts w:hint="eastAsia" w:ascii="Times New Roman" w:hAnsi="Times New Roman" w:eastAsia="方正小标宋_GBK" w:cs="方正小标宋_GBK"/>
          <w:color w:val="000000" w:themeColor="text1"/>
          <w:sz w:val="44"/>
          <w:szCs w:val="44"/>
          <w:highlight w:val="none"/>
          <w:u w:val="none" w:color="auto"/>
          <w14:textFill>
            <w14:solidFill>
              <w14:schemeClr w14:val="tx1"/>
            </w14:solidFill>
          </w14:textFill>
        </w:rPr>
        <w:t>专家个人意见</w:t>
      </w:r>
      <w:r>
        <w:rPr>
          <w:rFonts w:hint="eastAsia" w:ascii="Times New Roman" w:hAnsi="Times New Roman" w:eastAsia="方正小标宋_GBK" w:cs="方正小标宋_GBK"/>
          <w:color w:val="000000" w:themeColor="text1"/>
          <w:sz w:val="44"/>
          <w:szCs w:val="44"/>
          <w:highlight w:val="none"/>
          <w:u w:val="none" w:color="auto"/>
          <w:lang w:val="en-US" w:eastAsia="zh-CN"/>
          <w14:textFill>
            <w14:solidFill>
              <w14:schemeClr w14:val="tx1"/>
            </w14:solidFill>
          </w14:textFill>
        </w:rPr>
        <w:t>书</w:t>
      </w:r>
    </w:p>
    <w:tbl>
      <w:tblPr>
        <w:tblStyle w:val="11"/>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431"/>
        <w:gridCol w:w="2116"/>
        <w:gridCol w:w="1753"/>
        <w:gridCol w:w="2834"/>
      </w:tblGrid>
      <w:tr w14:paraId="0620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14:paraId="07CAF04B">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lang w:val="en-US" w:eastAsia="zh-CN"/>
                <w14:textFill>
                  <w14:solidFill>
                    <w14:schemeClr w14:val="tx1"/>
                  </w14:solidFill>
                </w14:textFill>
              </w:rPr>
              <w:t>报告</w:t>
            </w: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名称</w:t>
            </w:r>
          </w:p>
        </w:tc>
        <w:tc>
          <w:tcPr>
            <w:tcW w:w="7134" w:type="dxa"/>
            <w:gridSpan w:val="4"/>
            <w:tcBorders>
              <w:top w:val="single" w:color="auto" w:sz="4" w:space="0"/>
              <w:left w:val="single" w:color="auto" w:sz="4" w:space="0"/>
              <w:bottom w:val="single" w:color="auto" w:sz="4" w:space="0"/>
              <w:right w:val="single" w:color="auto" w:sz="4" w:space="0"/>
            </w:tcBorders>
            <w:vAlign w:val="center"/>
          </w:tcPr>
          <w:p w14:paraId="5C908636">
            <w:pPr>
              <w:spacing w:afterLines="0" w:line="600" w:lineRule="exact"/>
              <w:jc w:val="lef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tc>
      </w:tr>
      <w:tr w14:paraId="717A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14:paraId="1E96C458">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提交单位</w:t>
            </w:r>
          </w:p>
        </w:tc>
        <w:tc>
          <w:tcPr>
            <w:tcW w:w="7134" w:type="dxa"/>
            <w:gridSpan w:val="4"/>
            <w:tcBorders>
              <w:top w:val="single" w:color="auto" w:sz="4" w:space="0"/>
              <w:left w:val="single" w:color="auto" w:sz="4" w:space="0"/>
              <w:bottom w:val="single" w:color="auto" w:sz="4" w:space="0"/>
              <w:right w:val="single" w:color="auto" w:sz="4" w:space="0"/>
            </w:tcBorders>
            <w:vAlign w:val="center"/>
          </w:tcPr>
          <w:p w14:paraId="4D817898">
            <w:pPr>
              <w:spacing w:afterLines="0" w:line="600" w:lineRule="exact"/>
              <w:jc w:val="lef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tc>
      </w:tr>
      <w:tr w14:paraId="6025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711" w:type="dxa"/>
            <w:tcBorders>
              <w:top w:val="single" w:color="auto" w:sz="4" w:space="0"/>
              <w:left w:val="single" w:color="auto" w:sz="4" w:space="0"/>
              <w:bottom w:val="single" w:color="auto" w:sz="4" w:space="0"/>
              <w:right w:val="single" w:color="auto" w:sz="4" w:space="0"/>
            </w:tcBorders>
            <w:vAlign w:val="center"/>
          </w:tcPr>
          <w:p w14:paraId="4F2E5062">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评审时间</w:t>
            </w:r>
          </w:p>
        </w:tc>
        <w:tc>
          <w:tcPr>
            <w:tcW w:w="2547" w:type="dxa"/>
            <w:gridSpan w:val="2"/>
            <w:tcBorders>
              <w:top w:val="single" w:color="auto" w:sz="4" w:space="0"/>
              <w:left w:val="single" w:color="auto" w:sz="4" w:space="0"/>
              <w:bottom w:val="single" w:color="auto" w:sz="4" w:space="0"/>
              <w:right w:val="single" w:color="auto" w:sz="4" w:space="0"/>
            </w:tcBorders>
            <w:vAlign w:val="center"/>
          </w:tcPr>
          <w:p w14:paraId="3FD68FF8">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tc>
        <w:tc>
          <w:tcPr>
            <w:tcW w:w="1753" w:type="dxa"/>
            <w:tcBorders>
              <w:top w:val="single" w:color="auto" w:sz="4" w:space="0"/>
              <w:left w:val="single" w:color="auto" w:sz="4" w:space="0"/>
              <w:bottom w:val="single" w:color="auto" w:sz="4" w:space="0"/>
              <w:right w:val="single" w:color="auto" w:sz="4" w:space="0"/>
            </w:tcBorders>
            <w:vAlign w:val="center"/>
          </w:tcPr>
          <w:p w14:paraId="5E7BEA1B">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评审地点</w:t>
            </w:r>
          </w:p>
        </w:tc>
        <w:tc>
          <w:tcPr>
            <w:tcW w:w="2834" w:type="dxa"/>
            <w:tcBorders>
              <w:top w:val="single" w:color="auto" w:sz="4" w:space="0"/>
              <w:left w:val="single" w:color="auto" w:sz="4" w:space="0"/>
              <w:bottom w:val="single" w:color="auto" w:sz="4" w:space="0"/>
              <w:right w:val="single" w:color="auto" w:sz="4" w:space="0"/>
            </w:tcBorders>
            <w:vAlign w:val="center"/>
          </w:tcPr>
          <w:p w14:paraId="736A944C">
            <w:pPr>
              <w:spacing w:afterLines="0" w:line="600" w:lineRule="exact"/>
              <w:jc w:val="cente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tc>
      </w:tr>
      <w:tr w14:paraId="5798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6" w:hRule="atLeast"/>
          <w:jc w:val="center"/>
        </w:trPr>
        <w:tc>
          <w:tcPr>
            <w:tcW w:w="8845" w:type="dxa"/>
            <w:gridSpan w:val="5"/>
            <w:tcBorders>
              <w:top w:val="single" w:color="auto" w:sz="4" w:space="0"/>
              <w:left w:val="single" w:color="auto" w:sz="4" w:space="0"/>
              <w:bottom w:val="single" w:color="auto" w:sz="4" w:space="0"/>
              <w:right w:val="single" w:color="auto" w:sz="4" w:space="0"/>
            </w:tcBorders>
            <w:vAlign w:val="top"/>
          </w:tcPr>
          <w:p w14:paraId="6060A2CC">
            <w:pPr>
              <w:spacing w:afterLines="0" w:line="600" w:lineRule="exact"/>
              <w:rPr>
                <w:rFonts w:hint="eastAsia" w:ascii="方正仿宋_GBK" w:hAnsi="方正仿宋_GBK" w:eastAsia="方正仿宋_GBK" w:cs="方正仿宋_GBK"/>
                <w:color w:val="000000" w:themeColor="text1"/>
                <w:sz w:val="32"/>
                <w:szCs w:val="32"/>
                <w:shd w:val="clear" w:color="auto" w:fill="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lang w:val="en-US" w:eastAsia="zh-CN"/>
                <w14:textFill>
                  <w14:solidFill>
                    <w14:schemeClr w14:val="tx1"/>
                  </w14:solidFill>
                </w14:textFill>
              </w:rPr>
              <w:t>重点问题：</w:t>
            </w:r>
          </w:p>
          <w:p w14:paraId="7EEFF5E2">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07B3F73F">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4FC090DA">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05E64043">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50382D80">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522FAAEA">
            <w:pPr>
              <w:spacing w:afterLines="0" w:line="600" w:lineRule="exact"/>
              <w:rPr>
                <w:rFonts w:hint="eastAsia" w:ascii="方正仿宋_GBK" w:hAnsi="方正仿宋_GBK" w:eastAsia="方正仿宋_GBK" w:cs="方正仿宋_GBK"/>
                <w:color w:val="000000" w:themeColor="text1"/>
                <w14:textFill>
                  <w14:solidFill>
                    <w14:schemeClr w14:val="tx1"/>
                  </w14:solidFill>
                </w14:textFill>
              </w:rPr>
            </w:pPr>
          </w:p>
          <w:p w14:paraId="1084A672">
            <w:pPr>
              <w:pStyle w:val="3"/>
              <w:numPr>
                <w:ilvl w:val="-1"/>
                <w:numId w:val="0"/>
              </w:numPr>
              <w:spacing w:afterLines="0" w:line="600" w:lineRule="exact"/>
              <w:ind w:left="0" w:firstLine="0"/>
              <w:rPr>
                <w:rFonts w:hint="eastAsia" w:ascii="方正仿宋_GBK" w:hAnsi="方正仿宋_GBK" w:eastAsia="方正仿宋_GBK" w:cs="方正仿宋_GBK"/>
                <w:b w:val="0"/>
                <w:bCs w:val="0"/>
                <w:color w:val="000000" w:themeColor="text1"/>
                <w:kern w:val="2"/>
                <w:sz w:val="32"/>
                <w:szCs w:val="32"/>
                <w:shd w:val="clear" w:color="auto" w:fill="auto"/>
                <w:lang w:val="en-US" w:eastAsia="zh-CN" w:bidi="ar-SA"/>
                <w14:textFill>
                  <w14:solidFill>
                    <w14:schemeClr w14:val="tx1"/>
                  </w14:solidFill>
                </w14:textFill>
              </w:rPr>
            </w:pPr>
            <w:r>
              <w:rPr>
                <w:rFonts w:hint="eastAsia" w:ascii="方正仿宋_GBK" w:hAnsi="方正仿宋_GBK" w:eastAsia="方正仿宋_GBK" w:cs="方正仿宋_GBK"/>
                <w:b w:val="0"/>
                <w:bCs w:val="0"/>
                <w:color w:val="000000" w:themeColor="text1"/>
                <w:kern w:val="2"/>
                <w:sz w:val="32"/>
                <w:szCs w:val="32"/>
                <w:shd w:val="clear" w:color="auto" w:fill="auto"/>
                <w:lang w:val="en-US" w:eastAsia="zh-CN" w:bidi="ar-SA"/>
                <w14:textFill>
                  <w14:solidFill>
                    <w14:schemeClr w14:val="tx1"/>
                  </w14:solidFill>
                </w14:textFill>
              </w:rPr>
              <w:t>一般问题：</w:t>
            </w:r>
          </w:p>
          <w:p w14:paraId="205ED54C">
            <w:pPr>
              <w:pStyle w:val="3"/>
              <w:numPr>
                <w:ilvl w:val="-1"/>
                <w:numId w:val="0"/>
              </w:numPr>
              <w:spacing w:afterLines="0" w:line="600" w:lineRule="exact"/>
              <w:ind w:left="0" w:firstLine="0"/>
              <w:rPr>
                <w:rFonts w:hint="eastAsia" w:cs="方正仿宋_GBK"/>
                <w:color w:val="000000" w:themeColor="text1"/>
                <w14:textFill>
                  <w14:solidFill>
                    <w14:schemeClr w14:val="tx1"/>
                  </w14:solidFill>
                </w14:textFill>
              </w:rPr>
            </w:pPr>
          </w:p>
          <w:p w14:paraId="7D5401BC">
            <w:pPr>
              <w:spacing w:afterLines="0" w:line="600" w:lineRule="exact"/>
              <w:rPr>
                <w:rFonts w:hint="eastAsia" w:ascii="方正仿宋_GBK" w:hAnsi="方正仿宋_GBK" w:eastAsia="方正仿宋_GBK" w:cs="方正仿宋_GBK"/>
                <w:color w:val="000000" w:themeColor="text1"/>
                <w14:textFill>
                  <w14:solidFill>
                    <w14:schemeClr w14:val="tx1"/>
                  </w14:solidFill>
                </w14:textFill>
              </w:rPr>
            </w:pPr>
          </w:p>
          <w:p w14:paraId="605989E4">
            <w:pPr>
              <w:spacing w:afterLines="0" w:line="600" w:lineRule="exact"/>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p>
          <w:p w14:paraId="7623D940">
            <w:pPr>
              <w:spacing w:afterLines="0" w:line="600" w:lineRule="exact"/>
              <w:ind w:right="561" w:firstLine="5440" w:firstLineChars="1700"/>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专家签名：</w:t>
            </w:r>
          </w:p>
          <w:p w14:paraId="38B50610">
            <w:pPr>
              <w:spacing w:afterLines="0" w:line="600" w:lineRule="exact"/>
              <w:ind w:right="561"/>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shd w:val="clear" w:color="auto" w:fill="auto"/>
                <w14:textFill>
                  <w14:solidFill>
                    <w14:schemeClr w14:val="tx1"/>
                  </w14:solidFill>
                </w14:textFill>
              </w:rPr>
              <w:t xml:space="preserve">                                   年  月  日</w:t>
            </w:r>
          </w:p>
        </w:tc>
      </w:tr>
      <w:tr w14:paraId="60D0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gridSpan w:val="2"/>
            <w:tcBorders>
              <w:top w:val="single" w:color="auto" w:sz="4" w:space="0"/>
              <w:left w:val="single" w:color="auto" w:sz="4" w:space="0"/>
              <w:bottom w:val="single" w:color="auto" w:sz="4" w:space="0"/>
              <w:right w:val="single" w:color="auto" w:sz="4" w:space="0"/>
            </w:tcBorders>
            <w:vAlign w:val="center"/>
          </w:tcPr>
          <w:p w14:paraId="6259A722">
            <w:pPr>
              <w:spacing w:afterLines="0" w:line="600" w:lineRule="exact"/>
              <w:jc w:val="center"/>
              <w:rPr>
                <w:rFonts w:ascii="Times New Roman" w:hAnsi="Times New Roman" w:eastAsia="方正仿宋_GBK" w:cs="仿宋_GB2312"/>
                <w:color w:val="000000" w:themeColor="text1"/>
                <w:sz w:val="32"/>
                <w:szCs w:val="32"/>
                <w:shd w:val="clear" w:color="auto" w:fill="auto"/>
                <w14:textFill>
                  <w14:solidFill>
                    <w14:schemeClr w14:val="tx1"/>
                  </w14:solidFill>
                </w14:textFill>
              </w:rPr>
            </w:pPr>
            <w:r>
              <w:rPr>
                <w:rFonts w:hint="eastAsia" w:ascii="Times New Roman" w:hAnsi="Times New Roman" w:eastAsia="方正仿宋_GBK" w:cs="仿宋_GB2312"/>
                <w:color w:val="000000" w:themeColor="text1"/>
                <w:sz w:val="32"/>
                <w:szCs w:val="32"/>
                <w:shd w:val="clear" w:color="auto" w:fill="auto"/>
                <w14:textFill>
                  <w14:solidFill>
                    <w14:schemeClr w14:val="tx1"/>
                  </w14:solidFill>
                </w14:textFill>
              </w:rPr>
              <w:t>结论</w:t>
            </w:r>
          </w:p>
        </w:tc>
        <w:tc>
          <w:tcPr>
            <w:tcW w:w="6703" w:type="dxa"/>
            <w:gridSpan w:val="3"/>
            <w:tcBorders>
              <w:top w:val="single" w:color="auto" w:sz="4" w:space="0"/>
              <w:left w:val="single" w:color="auto" w:sz="4" w:space="0"/>
              <w:bottom w:val="single" w:color="auto" w:sz="4" w:space="0"/>
              <w:right w:val="single" w:color="auto" w:sz="4" w:space="0"/>
            </w:tcBorders>
            <w:vAlign w:val="center"/>
          </w:tcPr>
          <w:p w14:paraId="2D132BDE">
            <w:pPr>
              <w:spacing w:afterLines="0" w:line="600" w:lineRule="exact"/>
              <w:rPr>
                <w:rFonts w:ascii="Times New Roman" w:hAnsi="Times New Roman" w:eastAsia="方正仿宋_GBK" w:cs="仿宋_GB2312"/>
                <w:color w:val="000000" w:themeColor="text1"/>
                <w:sz w:val="32"/>
                <w:szCs w:val="32"/>
                <w:shd w:val="clear" w:color="auto" w:fill="auto"/>
                <w14:textFill>
                  <w14:solidFill>
                    <w14:schemeClr w14:val="tx1"/>
                  </w14:solidFill>
                </w14:textFill>
              </w:rPr>
            </w:pPr>
            <w:r>
              <w:rPr>
                <w:rFonts w:hint="eastAsia" w:ascii="Times New Roman" w:hAnsi="Times New Roman" w:eastAsia="方正仿宋_GBK" w:cs="仿宋_GB2312"/>
                <w:color w:val="000000" w:themeColor="text1"/>
                <w:sz w:val="32"/>
                <w:szCs w:val="32"/>
                <w:shd w:val="clear" w:color="auto" w:fill="auto"/>
                <w14:textFill>
                  <w14:solidFill>
                    <w14:schemeClr w14:val="tx1"/>
                  </w14:solidFill>
                </w14:textFill>
              </w:rPr>
              <w:t xml:space="preserve">  □通过</w:t>
            </w:r>
            <w:r>
              <w:rPr>
                <w:rFonts w:hint="eastAsia" w:ascii="Times New Roman" w:hAnsi="Times New Roman" w:eastAsia="方正仿宋_GBK" w:cs="仿宋_GB2312"/>
                <w:color w:val="000000" w:themeColor="text1"/>
                <w:sz w:val="32"/>
                <w:szCs w:val="32"/>
                <w:shd w:val="clear" w:color="auto" w:fill="auto"/>
                <w:lang w:val="en-US" w:eastAsia="zh-CN"/>
                <w14:textFill>
                  <w14:solidFill>
                    <w14:schemeClr w14:val="tx1"/>
                  </w14:solidFill>
                </w14:textFill>
              </w:rPr>
              <w:t xml:space="preserve">  </w:t>
            </w:r>
            <w:r>
              <w:rPr>
                <w:rFonts w:hint="eastAsia" w:ascii="Times New Roman" w:hAnsi="Times New Roman" w:eastAsia="方正仿宋_GBK" w:cs="仿宋_GB2312"/>
                <w:color w:val="000000" w:themeColor="text1"/>
                <w:sz w:val="32"/>
                <w:szCs w:val="32"/>
                <w:shd w:val="clear" w:color="auto" w:fill="auto"/>
                <w14:textFill>
                  <w14:solidFill>
                    <w14:schemeClr w14:val="tx1"/>
                  </w14:solidFill>
                </w14:textFill>
              </w:rPr>
              <w:t xml:space="preserve"> □</w:t>
            </w:r>
            <w:r>
              <w:rPr>
                <w:rFonts w:hint="eastAsia" w:ascii="Times New Roman" w:hAnsi="Times New Roman" w:eastAsia="方正仿宋_GBK" w:cs="仿宋_GB2312"/>
                <w:color w:val="000000" w:themeColor="text1"/>
                <w:sz w:val="32"/>
                <w:szCs w:val="32"/>
                <w:shd w:val="clear" w:color="auto" w:fill="auto"/>
                <w:lang w:val="en-US" w:eastAsia="zh-CN"/>
                <w14:textFill>
                  <w14:solidFill>
                    <w14:schemeClr w14:val="tx1"/>
                  </w14:solidFill>
                </w14:textFill>
              </w:rPr>
              <w:t>修改后</w:t>
            </w:r>
            <w:r>
              <w:rPr>
                <w:rFonts w:hint="eastAsia" w:ascii="Times New Roman" w:hAnsi="Times New Roman" w:eastAsia="方正仿宋_GBK" w:cs="仿宋_GB2312"/>
                <w:color w:val="000000" w:themeColor="text1"/>
                <w:sz w:val="32"/>
                <w:szCs w:val="32"/>
                <w:shd w:val="clear" w:color="auto" w:fill="auto"/>
                <w14:textFill>
                  <w14:solidFill>
                    <w14:schemeClr w14:val="tx1"/>
                  </w14:solidFill>
                </w14:textFill>
              </w:rPr>
              <w:t>通过   □不通过</w:t>
            </w:r>
          </w:p>
        </w:tc>
      </w:tr>
    </w:tbl>
    <w:p w14:paraId="1DB20A3A">
      <w:pPr>
        <w:spacing w:before="313" w:beforeLines="100" w:afterLines="0" w:line="300" w:lineRule="exact"/>
        <w:jc w:val="left"/>
        <w:rPr>
          <w:rFonts w:hint="default" w:ascii="Times New Roman" w:hAnsi="Times New Roman" w:eastAsia="方正小标宋_GBK"/>
          <w:color w:val="000000" w:themeColor="text1"/>
          <w:sz w:val="21"/>
          <w:szCs w:val="21"/>
          <w14:textFill>
            <w14:solidFill>
              <w14:schemeClr w14:val="tx1"/>
            </w14:solidFill>
          </w14:textFill>
        </w:rPr>
      </w:pPr>
      <w:r>
        <w:rPr>
          <w:rFonts w:hint="default" w:ascii="Times New Roman" w:hAnsi="Times New Roman" w:eastAsia="方正小标宋_GBK"/>
          <w:color w:val="000000" w:themeColor="text1"/>
          <w:sz w:val="21"/>
          <w:szCs w:val="21"/>
          <w14:textFill>
            <w14:solidFill>
              <w14:schemeClr w14:val="tx1"/>
            </w14:solidFill>
          </w14:textFill>
        </w:rPr>
        <w:t xml:space="preserve">     本意见可附页。评审专家个人书面评审意见应与会上发表意见一致，问题和意见应在评审会议上一次性提出，原则上会后不再提出新的修改意见。</w:t>
      </w:r>
    </w:p>
    <w:p w14:paraId="14C52769"/>
    <w:sectPr>
      <w:headerReference r:id="rId9" w:type="default"/>
      <w:footerReference r:id="rId10" w:type="default"/>
      <w:pgSz w:w="11906" w:h="16838"/>
      <w:pgMar w:top="1962" w:right="1474" w:bottom="1848" w:left="1587" w:header="850" w:footer="992" w:gutter="0"/>
      <w:pgNumType w:fmt="numberInDash"/>
      <w:cols w:space="72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ADC637-8D4C-440D-9500-4209416548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94F6D87-C485-4385-94F7-0763CA89D0DC}"/>
  </w:font>
  <w:font w:name="方正仿宋_GBK">
    <w:panose1 w:val="02000000000000000000"/>
    <w:charset w:val="86"/>
    <w:family w:val="auto"/>
    <w:pitch w:val="default"/>
    <w:sig w:usb0="A00002BF" w:usb1="38CF7CFA" w:usb2="00082016" w:usb3="00000000" w:csb0="00040001" w:csb1="00000000"/>
    <w:embedRegular r:id="rId3" w:fontKey="{33601945-BC13-432D-AD0D-D3DA54EDA1A2}"/>
  </w:font>
  <w:font w:name="方正小标宋_GBK">
    <w:panose1 w:val="02000000000000000000"/>
    <w:charset w:val="86"/>
    <w:family w:val="auto"/>
    <w:pitch w:val="default"/>
    <w:sig w:usb0="A00002BF" w:usb1="38CF7CFA" w:usb2="00082016" w:usb3="00000000" w:csb0="00040001" w:csb1="00000000"/>
    <w:embedRegular r:id="rId4" w:fontKey="{496B9374-5A16-4EFD-AEAC-9FE02738A93E}"/>
  </w:font>
  <w:font w:name="方正黑体_GBK">
    <w:panose1 w:val="02010600010101010101"/>
    <w:charset w:val="86"/>
    <w:family w:val="auto"/>
    <w:pitch w:val="default"/>
    <w:sig w:usb0="00000001" w:usb1="080E0000" w:usb2="00000000" w:usb3="00000000" w:csb0="00040000" w:csb1="00000000"/>
    <w:embedRegular r:id="rId5" w:fontKey="{56D3BB83-42CE-4B93-8466-46D34D4D45A3}"/>
  </w:font>
  <w:font w:name="仿宋_GB2312">
    <w:altName w:val="仿宋"/>
    <w:panose1 w:val="02010609030101010101"/>
    <w:charset w:val="86"/>
    <w:family w:val="modern"/>
    <w:pitch w:val="default"/>
    <w:sig w:usb0="00000000" w:usb1="00000000" w:usb2="00000000" w:usb3="00000000" w:csb0="00040000" w:csb1="00000000"/>
    <w:embedRegular r:id="rId6" w:fontKey="{7A86D943-9983-4007-B3FF-D1824BD48E3D}"/>
  </w:font>
  <w:font w:name="仿宋">
    <w:panose1 w:val="02010609060101010101"/>
    <w:charset w:val="86"/>
    <w:family w:val="auto"/>
    <w:pitch w:val="default"/>
    <w:sig w:usb0="800002BF" w:usb1="38CF7CFA" w:usb2="00000016" w:usb3="00000000" w:csb0="00040001" w:csb1="00000000"/>
    <w:embedRegular r:id="rId7" w:fontKey="{40816C62-D17B-44C2-A5B9-F71EEE58E04B}"/>
  </w:font>
  <w:font w:name="FangSong_GB2312">
    <w:altName w:val="仿宋"/>
    <w:panose1 w:val="00000000000000000000"/>
    <w:charset w:val="86"/>
    <w:family w:val="auto"/>
    <w:pitch w:val="default"/>
    <w:sig w:usb0="00000000" w:usb1="00000000" w:usb2="00000000" w:usb3="00000000" w:csb0="00040000" w:csb1="00000000"/>
    <w:embedRegular r:id="rId8" w:fontKey="{89B0C09B-B98E-4F31-8D5A-555724C5FD5A}"/>
  </w:font>
  <w:font w:name="楷体_GB2312">
    <w:altName w:val="楷体"/>
    <w:panose1 w:val="02010609030101010101"/>
    <w:charset w:val="86"/>
    <w:family w:val="auto"/>
    <w:pitch w:val="default"/>
    <w:sig w:usb0="00000000" w:usb1="00000000" w:usb2="00000000" w:usb3="00000000" w:csb0="00040000" w:csb1="00000000"/>
    <w:embedRegular r:id="rId9" w:fontKey="{081F097B-5294-4EBF-A00C-2D4A3C8EE450}"/>
  </w:font>
  <w:font w:name="楷体">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auto"/>
    <w:pitch w:val="default"/>
    <w:sig w:usb0="00000000" w:usb1="00000000" w:usb2="00000000" w:usb3="00000000" w:csb0="00040000" w:csb1="00000000"/>
    <w:embedRegular r:id="rId10" w:fontKey="{D6DFD7CE-A6E7-4A10-B5B2-B925A45AFF46}"/>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10601030101010101"/>
    <w:charset w:val="86"/>
    <w:family w:val="auto"/>
    <w:pitch w:val="default"/>
    <w:sig w:usb0="00000000" w:usb1="00000000" w:usb2="00000000" w:usb3="00000000" w:csb0="00040000" w:csb1="00000000"/>
    <w:embedRegular r:id="rId11" w:fontKey="{997A0CDD-0561-478A-B46C-211E13C79FA1}"/>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2AF62">
    <w:pPr>
      <w:pStyle w:val="7"/>
      <w:ind w:left="0" w:leftChars="0" w:firstLine="0" w:firstLineChars="0"/>
      <w:rPr>
        <w:sz w:val="32"/>
      </w:rPr>
    </w:pPr>
    <w:r>
      <mc:AlternateContent>
        <mc:Choice Requires="wps">
          <w:drawing>
            <wp:anchor distT="0" distB="0" distL="114300" distR="114300" simplePos="0" relativeHeight="251660288" behindDoc="0" locked="0" layoutInCell="1" allowOverlap="1">
              <wp:simplePos x="0" y="0"/>
              <wp:positionH relativeFrom="margin">
                <wp:posOffset>4936490</wp:posOffset>
              </wp:positionH>
              <wp:positionV relativeFrom="paragraph">
                <wp:posOffset>28575</wp:posOffset>
              </wp:positionV>
              <wp:extent cx="1828800" cy="1828800"/>
              <wp:effectExtent l="0" t="0" r="0" b="0"/>
              <wp:wrapNone/>
              <wp:docPr id="25" name="文本框 20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FB29A9">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0">
                      <a:spAutoFit/>
                    </wps:bodyPr>
                  </wps:wsp>
                </a:graphicData>
              </a:graphic>
            </wp:anchor>
          </w:drawing>
        </mc:Choice>
        <mc:Fallback>
          <w:pict>
            <v:shape id="文本框 2085" o:spid="_x0000_s1026" o:spt="202" type="#_x0000_t202" style="position:absolute;left:0pt;margin-left:388.7pt;margin-top:2.25pt;height:144pt;width:144pt;mso-position-horizontal-relative:margin;mso-wrap-style:none;z-index:251660288;mso-width-relative:page;mso-height-relative:page;" filled="f" stroked="f" coordsize="21600,21600" o:gfxdata="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BXBk1gAAAAoBAAAP&#10;AAAAAAAAAAEAIAAAACIAAABkcnMvZG93bnJldi54bWxQSwECFAAUAAAACACHTuJA8XWeFeEBAADC&#10;AwAADgAAAAAAAAABACAAAAAlAQAAZHJzL2Uyb0RvYy54bWxQSwUGAAAAAAYABgBZAQAAeAUAAAAA&#10;">
              <v:fill on="f" focussize="0,0"/>
              <v:stroke on="f"/>
              <v:imagedata o:title=""/>
              <o:lock v:ext="edit" aspectratio="f"/>
              <v:textbox inset="0mm,0mm,0mm,0mm" style="mso-fit-shape-to-text:t;">
                <w:txbxContent>
                  <w:p w14:paraId="33FB29A9">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p w14:paraId="301E3FBD">
    <w:pPr>
      <w:pStyle w:val="7"/>
      <w:ind w:left="4788" w:leftChars="2280" w:firstLine="6400" w:firstLineChars="2000"/>
      <w:rPr>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17780</wp:posOffset>
              </wp:positionH>
              <wp:positionV relativeFrom="paragraph">
                <wp:posOffset>116840</wp:posOffset>
              </wp:positionV>
              <wp:extent cx="5600700" cy="0"/>
              <wp:effectExtent l="0" t="10795" r="0" b="17780"/>
              <wp:wrapNone/>
              <wp:docPr id="38" name="直接箭头连接符 38"/>
              <wp:cNvGraphicFramePr/>
              <a:graphic xmlns:a="http://schemas.openxmlformats.org/drawingml/2006/main">
                <a:graphicData uri="http://schemas.microsoft.com/office/word/2010/wordprocessingShape">
                  <wps:wsp>
                    <wps:cNvCnPr/>
                    <wps:spPr>
                      <a:xfrm>
                        <a:off x="0" y="0"/>
                        <a:ext cx="5600700" cy="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1.4pt;margin-top:9.2pt;height:0pt;width:441pt;z-index:251664384;mso-width-relative:page;mso-height-relative:page;" filled="f" stroked="t" coordsize="21600,21600" o:gfxdata="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2pc81AAAAAcBAAAPAAAAAAAAAAEAIAAAACIAAABkcnMv&#10;ZG93bnJldi54bWxQSwECFAAUAAAACACHTuJAj1pUBQcCAAD5AwAADgAAAAAAAAABACAAAAAjAQAA&#10;ZHJzL2Uyb0RvYy54bWxQSwUGAAAAAAYABgBZAQAAnAUAAAAA&#10;">
              <v:fill on="f" focussize="0,0"/>
              <v:stroke weight="1.75pt" color="#5B9BD5" joinstyle="miter"/>
              <v:imagedata o:title=""/>
              <o:lock v:ext="edit" aspectratio="f"/>
            </v:shape>
          </w:pict>
        </mc:Fallback>
      </mc:AlternateContent>
    </w:r>
  </w:p>
  <w:p w14:paraId="4C6B1683">
    <w:pPr>
      <w:pStyle w:val="6"/>
    </w:pPr>
    <w:r>
      <w:rPr>
        <w:rFonts w:hint="eastAsia" w:ascii="宋体" w:hAnsi="宋体" w:eastAsia="宋体" w:cs="宋体"/>
        <w:b/>
        <w:bCs/>
        <w:color w:val="005192"/>
        <w:sz w:val="28"/>
        <w:szCs w:val="44"/>
        <w:lang w:val="en-US" w:eastAsia="zh-CN"/>
      </w:rPr>
      <w:t xml:space="preserve">                                  重庆市规划和自然资源局发布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7525F">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43E2B">
    <w:pPr>
      <w:pStyle w:val="7"/>
      <w:ind w:left="0" w:leftChars="0" w:firstLine="0" w:firstLineChars="0"/>
      <w:rPr>
        <w:sz w:val="32"/>
      </w:rPr>
    </w:pPr>
    <w:r>
      <mc:AlternateContent>
        <mc:Choice Requires="wps">
          <w:drawing>
            <wp:anchor distT="0" distB="0" distL="114300" distR="114300" simplePos="0" relativeHeight="251666432" behindDoc="0" locked="0" layoutInCell="1" allowOverlap="1">
              <wp:simplePos x="0" y="0"/>
              <wp:positionH relativeFrom="margin">
                <wp:posOffset>4936490</wp:posOffset>
              </wp:positionH>
              <wp:positionV relativeFrom="paragraph">
                <wp:posOffset>152400</wp:posOffset>
              </wp:positionV>
              <wp:extent cx="1828800" cy="1828800"/>
              <wp:effectExtent l="0" t="0" r="0" b="0"/>
              <wp:wrapNone/>
              <wp:docPr id="41" name="文本框 20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087E25">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vert="horz" wrap="none" lIns="0" tIns="0" rIns="0" bIns="0" anchor="t" anchorCtr="0" upright="0">
                      <a:spAutoFit/>
                    </wps:bodyPr>
                  </wps:wsp>
                </a:graphicData>
              </a:graphic>
            </wp:anchor>
          </w:drawing>
        </mc:Choice>
        <mc:Fallback>
          <w:pict>
            <v:shape id="文本框 2085" o:spid="_x0000_s1026" o:spt="202" type="#_x0000_t202" style="position:absolute;left:0pt;margin-left:388.7pt;margin-top:12pt;height:144pt;width:144pt;mso-position-horizontal-relative:margin;mso-wrap-style:none;z-index:251666432;mso-width-relative:page;mso-height-relative:page;" filled="f" stroked="f" coordsize="21600,21600" o:gfxdata="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mHLL1gAAAAsBAAAP&#10;AAAAAAAAAAEAIAAAACIAAABkcnMvZG93bnJldi54bWxQSwECFAAUAAAACACHTuJAGhfQDOEBAADC&#10;AwAADgAAAAAAAAABACAAAAAlAQAAZHJzL2Uyb0RvYy54bWxQSwUGAAAAAAYABgBZAQAAeAUAAAAA&#10;">
              <v:fill on="f" focussize="0,0"/>
              <v:stroke on="f"/>
              <v:imagedata o:title=""/>
              <o:lock v:ext="edit" aspectratio="f"/>
              <v:textbox inset="0mm,0mm,0mm,0mm" style="mso-fit-shape-to-text:t;">
                <w:txbxContent>
                  <w:p w14:paraId="53087E25">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lang w:eastAsia="zh-CN"/>
      </w:rPr>
      <w:tab/>
    </w:r>
  </w:p>
  <w:p w14:paraId="3F377B3E">
    <w:pPr>
      <w:pStyle w:val="7"/>
      <w:ind w:left="4788" w:leftChars="2280" w:firstLine="6400" w:firstLineChars="2000"/>
      <w:rPr>
        <w:sz w:val="32"/>
      </w:rPr>
    </w:pPr>
    <w:r>
      <w:rPr>
        <w:color w:val="FAFAFA"/>
        <w:sz w:val="32"/>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212090</wp:posOffset>
              </wp:positionV>
              <wp:extent cx="5600700" cy="0"/>
              <wp:effectExtent l="0" t="10795" r="0" b="17780"/>
              <wp:wrapNone/>
              <wp:docPr id="42" name="直接箭头连接符 42"/>
              <wp:cNvGraphicFramePr/>
              <a:graphic xmlns:a="http://schemas.openxmlformats.org/drawingml/2006/main">
                <a:graphicData uri="http://schemas.microsoft.com/office/word/2010/wordprocessingShape">
                  <wps:wsp>
                    <wps:cNvCnPr/>
                    <wps:spPr>
                      <a:xfrm>
                        <a:off x="0" y="0"/>
                        <a:ext cx="5600700" cy="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1.4pt;margin-top:16.7pt;height:0pt;width:441pt;z-index:251667456;mso-width-relative:page;mso-height-relative:page;" filled="f" stroked="t" coordsize="21600,21600" o:gfxdata="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L4as1AAAAAcBAAAPAAAAAAAAAAEAIAAAACIAAABkcnMv&#10;ZG93bnJldi54bWxQSwECFAAUAAAACACHTuJAexADqAcCAAD5AwAADgAAAAAAAAABACAAAAAjAQAA&#10;ZHJzL2Uyb0RvYy54bWxQSwUGAAAAAAYABgBZAQAAnAUAAAAA&#10;">
              <v:fill on="f" focussize="0,0"/>
              <v:stroke weight="1.75pt" color="#5B9BD5" joinstyle="miter"/>
              <v:imagedata o:title=""/>
              <o:lock v:ext="edit" aspectratio="f"/>
            </v:shape>
          </w:pict>
        </mc:Fallback>
      </mc:AlternateContent>
    </w:r>
  </w:p>
  <w:p w14:paraId="0C60010F">
    <w:pPr>
      <w:pStyle w:val="6"/>
    </w:pPr>
    <w:r>
      <w:rPr>
        <w:rFonts w:hint="eastAsia" w:ascii="宋体" w:hAnsi="宋体" w:eastAsia="宋体" w:cs="宋体"/>
        <w:b/>
        <w:bCs/>
        <w:color w:val="005192"/>
        <w:sz w:val="28"/>
        <w:szCs w:val="44"/>
        <w:lang w:val="en-US" w:eastAsia="zh-CN"/>
      </w:rPr>
      <w:t xml:space="preserve">                                  重庆市规划和自然资源局发布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23145">
    <w:pPr>
      <w:pStyle w:val="7"/>
      <w:ind w:left="4788" w:leftChars="2280" w:firstLine="6400" w:firstLineChars="2000"/>
      <w:rPr>
        <w:sz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C5E95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7AC5E95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4F7E833A">
    <w:pPr>
      <w:pStyle w:val="7"/>
      <w:ind w:left="4788" w:leftChars="2280" w:firstLine="6400" w:firstLineChars="2000"/>
      <w:rPr>
        <w:sz w:val="32"/>
      </w:rPr>
    </w:pPr>
    <w:r>
      <w:rPr>
        <w:color w:val="FAFAFA"/>
        <w:sz w:val="32"/>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149860</wp:posOffset>
              </wp:positionV>
              <wp:extent cx="5600700" cy="0"/>
              <wp:effectExtent l="0" t="10795" r="0" b="17780"/>
              <wp:wrapNone/>
              <wp:docPr id="3" name="直接箭头连接符 3"/>
              <wp:cNvGraphicFramePr/>
              <a:graphic xmlns:a="http://schemas.openxmlformats.org/drawingml/2006/main">
                <a:graphicData uri="http://schemas.microsoft.com/office/word/2010/wordprocessingShape">
                  <wps:wsp>
                    <wps:cNvCnPr/>
                    <wps:spPr>
                      <a:xfrm>
                        <a:off x="0" y="0"/>
                        <a:ext cx="5600700" cy="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1.4pt;margin-top:11.8pt;height:0pt;width:441pt;z-index:251659264;mso-width-relative:page;mso-height-relative:page;" filled="f" stroked="t" coordsize="21600,21600" o:gfxdata="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PA71QAAAAcBAAAPAAAAAAAAAAEAIAAAACIAAABkcnMv&#10;ZG93bnJldi54bWxQSwECFAAUAAAACACHTuJAXhMq5QYCAAD3AwAADgAAAAAAAAABACAAAAAkAQAA&#10;ZHJzL2Uyb0RvYy54bWxQSwUGAAAAAAYABgBZAQAAnAUAAAAA&#10;">
              <v:fill on="f" focussize="0,0"/>
              <v:stroke weight="1.75pt" color="#5B9BD5" joinstyle="miter"/>
              <v:imagedata o:title=""/>
              <o:lock v:ext="edit" aspectratio="f"/>
            </v:shape>
          </w:pict>
        </mc:Fallback>
      </mc:AlternateContent>
    </w:r>
  </w:p>
  <w:p w14:paraId="7EF951F4">
    <w:pPr>
      <w:pStyle w:val="7"/>
      <w:wordWrap/>
      <w:jc w:val="both"/>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w:t>
    </w:r>
    <w:r>
      <w:rPr>
        <w:rFonts w:hint="default" w:ascii="宋体" w:hAnsi="宋体" w:eastAsia="宋体" w:cs="宋体"/>
        <w:b/>
        <w:bCs/>
        <w:color w:val="005192"/>
        <w:sz w:val="28"/>
        <w:szCs w:val="44"/>
        <w:lang w:eastAsia="zh-CN"/>
      </w:rPr>
      <w:t xml:space="preserve">                         </w:t>
    </w:r>
    <w:r>
      <w:rPr>
        <w:rFonts w:hint="eastAsia" w:ascii="宋体" w:hAnsi="宋体" w:cs="宋体"/>
        <w:b/>
        <w:bCs/>
        <w:color w:val="005192"/>
        <w:sz w:val="28"/>
        <w:szCs w:val="44"/>
        <w:lang w:val="en-US" w:eastAsia="zh-CN"/>
      </w:rPr>
      <w:t xml:space="preserve">    </w:t>
    </w:r>
    <w:r>
      <w:rPr>
        <w:rFonts w:hint="default" w:ascii="宋体" w:hAnsi="宋体" w:eastAsia="宋体" w:cs="宋体"/>
        <w:b/>
        <w:bCs/>
        <w:color w:val="005192"/>
        <w:sz w:val="28"/>
        <w:szCs w:val="44"/>
        <w:lang w:eastAsia="zh-CN"/>
      </w:rPr>
      <w:t xml:space="preserve"> </w:t>
    </w:r>
    <w:r>
      <w:rPr>
        <w:rFonts w:hint="eastAsia" w:ascii="宋体" w:hAnsi="宋体" w:eastAsia="宋体" w:cs="宋体"/>
        <w:b/>
        <w:bCs/>
        <w:color w:val="005192"/>
        <w:sz w:val="28"/>
        <w:szCs w:val="44"/>
        <w:lang w:val="en-US" w:eastAsia="zh-CN"/>
      </w:rPr>
      <w:t xml:space="preserve">  </w:t>
    </w: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eastAsia="zh-CN"/>
      </w:rPr>
      <w:t>规划和自然资源局</w:t>
    </w:r>
    <w:r>
      <w:rPr>
        <w:rFonts w:hint="eastAsia" w:ascii="宋体" w:hAnsi="宋体" w:eastAsia="宋体" w:cs="宋体"/>
        <w:b/>
        <w:bCs/>
        <w:color w:val="005192"/>
        <w:sz w:val="28"/>
        <w:szCs w:val="44"/>
        <w:lang w:val="en-US" w:eastAsia="zh-CN"/>
      </w:rPr>
      <w:t>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1ED37">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690245</wp:posOffset>
              </wp:positionV>
              <wp:extent cx="5622290" cy="8890"/>
              <wp:effectExtent l="0" t="0" r="0" b="0"/>
              <wp:wrapNone/>
              <wp:docPr id="34" name="直接箭头连接符 34"/>
              <wp:cNvGraphicFramePr/>
              <a:graphic xmlns:a="http://schemas.openxmlformats.org/drawingml/2006/main">
                <a:graphicData uri="http://schemas.microsoft.com/office/word/2010/wordprocessingShape">
                  <wps:wsp>
                    <wps:cNvCnPr/>
                    <wps:spPr>
                      <a:xfrm>
                        <a:off x="0" y="0"/>
                        <a:ext cx="5622290" cy="889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0pt;margin-top:54.35pt;height:0.7pt;width:442.7pt;z-index:251663360;mso-width-relative:page;mso-height-relative:page;" filled="f" stroked="t" coordsize="21600,21600" o:gfxdata="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&#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lTttYAAAAIAQAADwAAAAAAAAABACAAAAAiAAAA&#10;ZHJzL2Rvd25yZXYueG1sUEsBAhQAFAAAAAgAh07iQIhXSeQJAgAA/AMAAA4AAAAAAAAAAQAgAAAA&#10;JQEAAGRycy9lMm9Eb2MueG1sUEsFBgAAAAAGAAYAWQEAAKAFAAAAAA==&#10;">
              <v:fill on="f" focussize="0,0"/>
              <v:stroke weight="1.75pt" color="#5B9BD5" joinstyle="miter"/>
              <v:imagedata o:title=""/>
              <o:lock v:ext="edit" aspectratio="f"/>
            </v:shape>
          </w:pict>
        </mc:Fallback>
      </mc:AlternateContent>
    </w:r>
  </w:p>
  <w:p w14:paraId="3BECE332">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35" name="图片 35"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p w14:paraId="0F96667B">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50B0F">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690245</wp:posOffset>
              </wp:positionV>
              <wp:extent cx="5622290" cy="8890"/>
              <wp:effectExtent l="0" t="0" r="0" b="0"/>
              <wp:wrapNone/>
              <wp:docPr id="31" name="直接箭头连接符 31"/>
              <wp:cNvGraphicFramePr/>
              <a:graphic xmlns:a="http://schemas.openxmlformats.org/drawingml/2006/main">
                <a:graphicData uri="http://schemas.microsoft.com/office/word/2010/wordprocessingShape">
                  <wps:wsp>
                    <wps:cNvCnPr/>
                    <wps:spPr>
                      <a:xfrm>
                        <a:off x="0" y="0"/>
                        <a:ext cx="5622290" cy="889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0pt;margin-top:54.35pt;height:0.7pt;width:442.7pt;z-index:251662336;mso-width-relative:page;mso-height-relative:page;" filled="f" stroked="t" coordsize="21600,21600" o:gfxdata="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lTttYAAAAIAQAADwAAAAAAAAABACAAAAAiAAAA&#10;ZHJzL2Rvd25yZXYueG1sUEsBAhQAFAAAAAgAh07iQOB/u60JAgAA/AMAAA4AAAAAAAAAAQAgAAAA&#10;JQEAAGRycy9lMm9Eb2MueG1sUEsFBgAAAAAGAAYAWQEAAKAFAAAAAA==&#10;">
              <v:fill on="f" focussize="0,0"/>
              <v:stroke weight="1.75pt" color="#5B9BD5" joinstyle="miter"/>
              <v:imagedata o:title=""/>
              <o:lock v:ext="edit" aspectratio="f"/>
            </v:shape>
          </w:pict>
        </mc:Fallback>
      </mc:AlternateContent>
    </w:r>
  </w:p>
  <w:p w14:paraId="290EA73C">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32" name="图片 3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p w14:paraId="3282DCA3">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AE10">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690245</wp:posOffset>
              </wp:positionV>
              <wp:extent cx="5622290" cy="8890"/>
              <wp:effectExtent l="0" t="0" r="0" b="0"/>
              <wp:wrapNone/>
              <wp:docPr id="39" name="直接箭头连接符 39"/>
              <wp:cNvGraphicFramePr/>
              <a:graphic xmlns:a="http://schemas.openxmlformats.org/drawingml/2006/main">
                <a:graphicData uri="http://schemas.microsoft.com/office/word/2010/wordprocessingShape">
                  <wps:wsp>
                    <wps:cNvCnPr/>
                    <wps:spPr>
                      <a:xfrm>
                        <a:off x="0" y="0"/>
                        <a:ext cx="5622290" cy="889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0pt;margin-top:54.35pt;height:0.7pt;width:442.7pt;z-index:251665408;mso-width-relative:page;mso-height-relative:page;" filled="f" stroked="t" coordsize="21600,21600" o:gfxdata="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&#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lTttYAAAAIAQAADwAAAAAAAAABACAAAAAiAAAA&#10;ZHJzL2Rvd25yZXYueG1sUEsBAhQAFAAAAAgAh07iQLVr23wJAgAA/AMAAA4AAAAAAAAAAQAgAAAA&#10;JQEAAGRycy9lMm9Eb2MueG1sUEsFBgAAAAAGAAYAWQEAAKAFAAAAAA==&#10;">
              <v:fill on="f" focussize="0,0"/>
              <v:stroke weight="1.75pt" color="#5B9BD5" joinstyle="miter"/>
              <v:imagedata o:title=""/>
              <o:lock v:ext="edit" aspectratio="f"/>
            </v:shape>
          </w:pict>
        </mc:Fallback>
      </mc:AlternateContent>
    </w:r>
  </w:p>
  <w:p w14:paraId="4F0B3D4C">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40" name="图片 40"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p w14:paraId="2AAE37D2">
    <w:pPr>
      <w:pStyle w:val="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A691B">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690245</wp:posOffset>
              </wp:positionV>
              <wp:extent cx="5622290" cy="889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622290" cy="8890"/>
                      </a:xfrm>
                      <a:prstGeom prst="straightConnector1">
                        <a:avLst/>
                      </a:prstGeom>
                      <a:ln w="22225" cap="flat" cmpd="sng">
                        <a:solidFill>
                          <a:srgbClr val="5B9BD5"/>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margin-left:0pt;margin-top:54.35pt;height:0.7pt;width:442.7pt;z-index:251661312;mso-width-relative:page;mso-height-relative:page;" filled="f" stroked="t" coordsize="21600,21600" o:gfxdata="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1ZU7bWAAAACAEAAA8AAAAAAAAAAQAgAAAAIgAAAGRy&#10;cy9kb3ducmV2LnhtbFBLAQIUABQAAAAIAIdO4kAPjTcDBwIAAPoDAAAOAAAAAAAAAAEAIAAAACUB&#10;AABkcnMvZTJvRG9jLnhtbFBLBQYAAAAABgAGAFkBAACeBQAAAAA=&#10;">
              <v:fill on="f" focussize="0,0"/>
              <v:stroke weight="1.75pt" color="#5B9BD5" joinstyle="miter"/>
              <v:imagedata o:title=""/>
              <o:lock v:ext="edit" aspectratio="f"/>
            </v:shape>
          </w:pict>
        </mc:Fallback>
      </mc:AlternateContent>
    </w:r>
  </w:p>
  <w:p w14:paraId="1A6EFCF6">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1"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规划和自然资源局</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585B1A"/>
    <w:multiLevelType w:val="multilevel"/>
    <w:tmpl w:val="2C585B1A"/>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3"/>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539FD"/>
    <w:rsid w:val="030056CF"/>
    <w:rsid w:val="059904C4"/>
    <w:rsid w:val="0F0C213A"/>
    <w:rsid w:val="26735DC3"/>
    <w:rsid w:val="30521014"/>
    <w:rsid w:val="334B5AE6"/>
    <w:rsid w:val="384170D9"/>
    <w:rsid w:val="486747D6"/>
    <w:rsid w:val="51F25BE9"/>
    <w:rsid w:val="5C502240"/>
    <w:rsid w:val="5FAF15E0"/>
    <w:rsid w:val="76104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4"/>
    <w:basedOn w:val="1"/>
    <w:next w:val="1"/>
    <w:unhideWhenUsed/>
    <w:qFormat/>
    <w:uiPriority w:val="9"/>
    <w:pPr>
      <w:numPr>
        <w:ilvl w:val="3"/>
        <w:numId w:val="1"/>
      </w:numPr>
      <w:outlineLvl w:val="3"/>
    </w:pPr>
    <w:rPr>
      <w:rFonts w:ascii="方正仿宋_GBK" w:hAnsi="方正仿宋_GBK" w:eastAsia="方正仿宋_GBK" w:cs="Times New Roman"/>
      <w:bCs/>
      <w:sz w:val="32"/>
      <w:szCs w:val="32"/>
      <w:lang w:val="zh-CN" w:eastAsia="zh-CN"/>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annotation text"/>
    <w:basedOn w:val="1"/>
    <w:qFormat/>
    <w:uiPriority w:val="0"/>
    <w:pPr>
      <w:jc w:val="left"/>
    </w:pPr>
  </w:style>
  <w:style w:type="paragraph" w:styleId="5">
    <w:name w:val="Body Text Indent"/>
    <w:basedOn w:val="1"/>
    <w:qFormat/>
    <w:uiPriority w:val="0"/>
    <w:pPr>
      <w:spacing w:after="120"/>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able of figures"/>
    <w:basedOn w:val="1"/>
    <w:next w:val="1"/>
    <w:unhideWhenUsed/>
    <w:qFormat/>
    <w:uiPriority w:val="99"/>
    <w:pPr>
      <w:ind w:left="200" w:leftChars="200" w:hanging="200" w:hangingChars="200"/>
    </w:pPr>
  </w:style>
  <w:style w:type="paragraph" w:styleId="9">
    <w:name w:val="Body Text First Indent"/>
    <w:qFormat/>
    <w:uiPriority w:val="0"/>
    <w:pPr>
      <w:widowControl w:val="0"/>
      <w:tabs>
        <w:tab w:val="left" w:pos="8280"/>
      </w:tabs>
      <w:spacing w:after="120" w:line="240" w:lineRule="auto"/>
      <w:ind w:firstLine="420" w:firstLineChars="100"/>
      <w:jc w:val="both"/>
    </w:pPr>
    <w:rPr>
      <w:rFonts w:ascii="Calibri" w:hAnsi="Calibri" w:eastAsia="宋体" w:cs="Times New Roman"/>
      <w:snapToGrid w:val="0"/>
      <w:kern w:val="2"/>
      <w:sz w:val="21"/>
      <w:szCs w:val="24"/>
      <w:lang w:val="en-US" w:eastAsia="zh-CN" w:bidi="ar-SA"/>
    </w:rPr>
  </w:style>
  <w:style w:type="paragraph" w:styleId="10">
    <w:name w:val="Body Text First Indent 2"/>
    <w:basedOn w:val="5"/>
    <w:qFormat/>
    <w:uiPriority w:val="0"/>
    <w:pPr>
      <w:ind w:left="0" w:leftChars="0"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qFormat/>
    <w:uiPriority w:val="99"/>
    <w:pPr>
      <w:widowControl w:val="0"/>
      <w:autoSpaceDE w:val="0"/>
      <w:autoSpaceDN w:val="0"/>
      <w:adjustRightInd w:val="0"/>
    </w:pPr>
    <w:rPr>
      <w:rFonts w:ascii="Calibri" w:hAnsi="Calibri" w:eastAsia="Times New Roman" w:cs="Times New Roman"/>
      <w:color w:val="000000"/>
      <w:sz w:val="24"/>
      <w:szCs w:val="22"/>
      <w:lang w:val="en-US" w:eastAsia="zh-CN" w:bidi="ar-SA"/>
    </w:rPr>
  </w:style>
  <w:style w:type="paragraph" w:styleId="15">
    <w:name w:val="List Paragraph"/>
    <w:basedOn w:val="1"/>
    <w:unhideWhenUsed/>
    <w:qFormat/>
    <w:uiPriority w:val="99"/>
    <w:pPr>
      <w:ind w:firstLine="420" w:firstLineChars="200"/>
    </w:pPr>
  </w:style>
  <w:style w:type="paragraph" w:customStyle="1" w:styleId="16">
    <w:name w:val="表格"/>
    <w:basedOn w:val="1"/>
    <w:qFormat/>
    <w:uiPriority w:val="0"/>
    <w:rPr>
      <w:rFonts w:ascii="Times New Roman" w:hAnsi="Times New Roman" w:eastAsia="宋体" w:cs="Times New Roman"/>
      <w:kern w:val="11"/>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607</Words>
  <Characters>637</Characters>
  <Lines>0</Lines>
  <Paragraphs>0</Paragraphs>
  <TotalTime>3</TotalTime>
  <ScaleCrop>false</ScaleCrop>
  <LinksUpToDate>false</LinksUpToDate>
  <CharactersWithSpaces>638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唐</cp:lastModifiedBy>
  <dcterms:modified xsi:type="dcterms:W3CDTF">2024-12-13T07:22:49Z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ABA9E309941D44BDA63CB48F953F6FC4_12</vt:lpwstr>
  </property>
</Properties>
</file>