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D60FA7">
      <w:bookmarkStart w:id="0" w:name="_Toc32299"/>
    </w:p>
    <w:p w14:paraId="5A96B705"/>
    <w:p w14:paraId="200509A9">
      <w:pPr>
        <w:pStyle w:val="2"/>
        <w:ind w:left="420"/>
      </w:pPr>
    </w:p>
    <w:p w14:paraId="7C5048CB">
      <w:pPr>
        <w:pStyle w:val="2"/>
        <w:ind w:left="420"/>
      </w:pPr>
    </w:p>
    <w:p w14:paraId="2F05A0FD">
      <w:pPr>
        <w:pStyle w:val="2"/>
        <w:ind w:left="420"/>
      </w:pPr>
    </w:p>
    <w:p w14:paraId="05FDCC86">
      <w:pPr>
        <w:pStyle w:val="2"/>
        <w:ind w:left="420"/>
      </w:pPr>
    </w:p>
    <w:p w14:paraId="749BF683">
      <w:pPr>
        <w:pStyle w:val="2"/>
        <w:ind w:left="420"/>
      </w:pPr>
    </w:p>
    <w:p w14:paraId="1E4CE485">
      <w:pPr>
        <w:pStyle w:val="2"/>
        <w:ind w:left="420"/>
      </w:pPr>
    </w:p>
    <w:p w14:paraId="06E78F92">
      <w:pPr>
        <w:pStyle w:val="2"/>
        <w:ind w:left="420"/>
      </w:pPr>
    </w:p>
    <w:p w14:paraId="7C7B91ED">
      <w:pPr>
        <w:pStyle w:val="2"/>
        <w:ind w:left="420"/>
      </w:pPr>
    </w:p>
    <w:p w14:paraId="2B9A32A6">
      <w:pPr>
        <w:pStyle w:val="2"/>
        <w:ind w:left="420"/>
      </w:pPr>
    </w:p>
    <w:p w14:paraId="5595E664">
      <w:pPr>
        <w:pStyle w:val="2"/>
        <w:ind w:left="420"/>
      </w:pPr>
      <w:r>
        <mc:AlternateContent>
          <mc:Choice Requires="wps">
            <w:drawing>
              <wp:anchor distT="0" distB="0" distL="114300" distR="114300" simplePos="0" relativeHeight="251659264" behindDoc="0" locked="0" layoutInCell="1" allowOverlap="1">
                <wp:simplePos x="0" y="0"/>
                <wp:positionH relativeFrom="column">
                  <wp:posOffset>-951230</wp:posOffset>
                </wp:positionH>
                <wp:positionV relativeFrom="page">
                  <wp:posOffset>3221355</wp:posOffset>
                </wp:positionV>
                <wp:extent cx="7261860" cy="902970"/>
                <wp:effectExtent l="0" t="0" r="0" b="68580"/>
                <wp:wrapNone/>
                <wp:docPr id="3" name="文本框 3"/>
                <wp:cNvGraphicFramePr/>
                <a:graphic xmlns:a="http://schemas.openxmlformats.org/drawingml/2006/main">
                  <a:graphicData uri="http://schemas.microsoft.com/office/word/2010/wordprocessingShape">
                    <wps:wsp>
                      <wps:cNvSpPr txBox="1"/>
                      <wps:spPr>
                        <a:xfrm>
                          <a:off x="0" y="0"/>
                          <a:ext cx="7262037" cy="902970"/>
                        </a:xfrm>
                        <a:prstGeom prst="rect">
                          <a:avLst/>
                        </a:prstGeom>
                        <a:solidFill>
                          <a:schemeClr val="lt1"/>
                        </a:solidFill>
                        <a:ln w="6350">
                          <a:noFill/>
                        </a:ln>
                        <a:effectLst>
                          <a:outerShdw dist="63500" dir="5400000" algn="t" rotWithShape="0">
                            <a:srgbClr val="029779">
                              <a:alpha val="40000"/>
                            </a:srgbClr>
                          </a:outerShdw>
                        </a:effectLst>
                      </wps:spPr>
                      <wps:style>
                        <a:lnRef idx="0">
                          <a:schemeClr val="accent1"/>
                        </a:lnRef>
                        <a:fillRef idx="0">
                          <a:schemeClr val="accent1"/>
                        </a:fillRef>
                        <a:effectRef idx="0">
                          <a:schemeClr val="accent1"/>
                        </a:effectRef>
                        <a:fontRef idx="minor">
                          <a:schemeClr val="dk1"/>
                        </a:fontRef>
                      </wps:style>
                      <wps:txbx>
                        <w:txbxContent>
                          <w:p w14:paraId="462760C7">
                            <w:pPr>
                              <w:spacing w:line="1320" w:lineRule="exact"/>
                              <w:jc w:val="left"/>
                              <w:rPr>
                                <w:rFonts w:ascii="黑体" w:hAnsi="黑体" w:eastAsia="黑体"/>
                                <w:b/>
                                <w:bCs/>
                                <w:color w:val="029779"/>
                                <w:sz w:val="56"/>
                                <w:szCs w:val="56"/>
                              </w:rPr>
                            </w:pPr>
                            <w:r>
                              <w:rPr>
                                <w:rFonts w:hint="eastAsia" w:ascii="汉仪综艺体简" w:hAnsi="黑体" w:eastAsia="汉仪综艺体简"/>
                                <w:b/>
                                <w:bCs/>
                                <w:color w:val="029779"/>
                                <w:sz w:val="56"/>
                                <w:szCs w:val="56"/>
                              </w:rPr>
                              <w:t>荣昌区盘龙镇</w:t>
                            </w:r>
                            <w:r>
                              <w:rPr>
                                <w:rFonts w:hint="eastAsia" w:ascii="汉仪综艺体简" w:hAnsi="黑体" w:eastAsia="汉仪综艺体简"/>
                                <w:b/>
                                <w:bCs/>
                                <w:color w:val="C00000"/>
                                <w:sz w:val="56"/>
                                <w:szCs w:val="56"/>
                              </w:rPr>
                              <w:t>三合村和昌州村</w:t>
                            </w:r>
                            <w:r>
                              <w:rPr>
                                <w:rFonts w:hint="eastAsia" w:ascii="汉仪综艺体简" w:hAnsi="黑体" w:eastAsia="汉仪综艺体简"/>
                                <w:b/>
                                <w:bCs/>
                                <w:color w:val="029779"/>
                                <w:sz w:val="56"/>
                                <w:szCs w:val="56"/>
                              </w:rPr>
                              <w:t>村庄规划</w:t>
                            </w:r>
                            <w:r>
                              <w:rPr>
                                <w:rFonts w:hint="eastAsia" w:ascii="黑体" w:hAnsi="黑体" w:eastAsia="黑体"/>
                                <w:b/>
                                <w:bCs/>
                                <w:color w:val="029779"/>
                                <w:sz w:val="28"/>
                                <w:szCs w:val="28"/>
                              </w:rPr>
                              <w:t>（2023-2035）年）</w:t>
                            </w:r>
                          </w:p>
                          <w:p w14:paraId="6FB89918">
                            <w:pPr>
                              <w:rPr>
                                <w:sz w:val="56"/>
                                <w:szCs w:val="5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9pt;margin-top:253.65pt;height:71.1pt;width:571.8pt;mso-position-vertical-relative:page;z-index:251659264;mso-width-relative:page;mso-height-relative:page;" fillcolor="#FFFFFF [3201]" filled="t" stroked="f" coordsize="21600,21600" o:gfxdata="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Cmo0eN2wAAAAwBAAAPAAAAAAAAAAEAIAAAACIAAABkcnMvZG93bnJldi54bWxQSwEC&#10;FAAUAAAACACHTuJA0MkjKZwCAAA0BQAADgAAAAAAAAABACAAAAAqAQAAZHJzL2Uyb0RvYy54bWxQ&#10;SwUGAAAAAAYABgBZAQAAOAYAAAAA&#10;">
                <v:fill on="t" focussize="0,0"/>
                <v:stroke on="f" weight="0.5pt"/>
                <v:imagedata o:title=""/>
                <o:lock v:ext="edit" aspectratio="f"/>
                <v:shadow on="t" color="#029779" opacity="26214f" offset="0pt,5pt" origin="0f,-32768f" matrix="65536f,0f,0f,65536f"/>
                <v:textbox>
                  <w:txbxContent>
                    <w:p w14:paraId="462760C7">
                      <w:pPr>
                        <w:spacing w:line="1320" w:lineRule="exact"/>
                        <w:jc w:val="left"/>
                        <w:rPr>
                          <w:rFonts w:ascii="黑体" w:hAnsi="黑体" w:eastAsia="黑体"/>
                          <w:b/>
                          <w:bCs/>
                          <w:color w:val="029779"/>
                          <w:sz w:val="56"/>
                          <w:szCs w:val="56"/>
                        </w:rPr>
                      </w:pPr>
                      <w:r>
                        <w:rPr>
                          <w:rFonts w:hint="eastAsia" w:ascii="汉仪综艺体简" w:hAnsi="黑体" w:eastAsia="汉仪综艺体简"/>
                          <w:b/>
                          <w:bCs/>
                          <w:color w:val="029779"/>
                          <w:sz w:val="56"/>
                          <w:szCs w:val="56"/>
                        </w:rPr>
                        <w:t>荣昌区盘龙镇</w:t>
                      </w:r>
                      <w:r>
                        <w:rPr>
                          <w:rFonts w:hint="eastAsia" w:ascii="汉仪综艺体简" w:hAnsi="黑体" w:eastAsia="汉仪综艺体简"/>
                          <w:b/>
                          <w:bCs/>
                          <w:color w:val="C00000"/>
                          <w:sz w:val="56"/>
                          <w:szCs w:val="56"/>
                        </w:rPr>
                        <w:t>三合村和昌州村</w:t>
                      </w:r>
                      <w:r>
                        <w:rPr>
                          <w:rFonts w:hint="eastAsia" w:ascii="汉仪综艺体简" w:hAnsi="黑体" w:eastAsia="汉仪综艺体简"/>
                          <w:b/>
                          <w:bCs/>
                          <w:color w:val="029779"/>
                          <w:sz w:val="56"/>
                          <w:szCs w:val="56"/>
                        </w:rPr>
                        <w:t>村庄规划</w:t>
                      </w:r>
                      <w:r>
                        <w:rPr>
                          <w:rFonts w:hint="eastAsia" w:ascii="黑体" w:hAnsi="黑体" w:eastAsia="黑体"/>
                          <w:b/>
                          <w:bCs/>
                          <w:color w:val="029779"/>
                          <w:sz w:val="28"/>
                          <w:szCs w:val="28"/>
                        </w:rPr>
                        <w:t>（2023-2035）年）</w:t>
                      </w:r>
                    </w:p>
                    <w:p w14:paraId="6FB89918">
                      <w:pPr>
                        <w:rPr>
                          <w:sz w:val="56"/>
                          <w:szCs w:val="56"/>
                        </w:rPr>
                      </w:pPr>
                    </w:p>
                  </w:txbxContent>
                </v:textbox>
              </v:shape>
            </w:pict>
          </mc:Fallback>
        </mc:AlternateContent>
      </w:r>
    </w:p>
    <w:p w14:paraId="72B46D3B">
      <w:pPr>
        <w:pStyle w:val="2"/>
        <w:ind w:left="420"/>
      </w:pPr>
    </w:p>
    <w:p w14:paraId="0ECF67A6">
      <w:pPr>
        <w:pStyle w:val="2"/>
        <w:ind w:left="420"/>
      </w:pPr>
    </w:p>
    <w:p w14:paraId="45C7FE7B">
      <w:pPr>
        <w:pStyle w:val="2"/>
        <w:ind w:left="420"/>
      </w:pPr>
    </w:p>
    <w:p w14:paraId="247A90D9">
      <w:pPr>
        <w:pStyle w:val="2"/>
        <w:ind w:left="420"/>
      </w:pPr>
    </w:p>
    <w:p w14:paraId="0D139859">
      <w:pPr>
        <w:pStyle w:val="2"/>
        <w:ind w:left="420"/>
      </w:pPr>
      <w:r>
        <mc:AlternateContent>
          <mc:Choice Requires="wps">
            <w:drawing>
              <wp:anchor distT="0" distB="0" distL="114300" distR="114300" simplePos="0" relativeHeight="251660288" behindDoc="0" locked="0" layoutInCell="1" allowOverlap="1">
                <wp:simplePos x="0" y="0"/>
                <wp:positionH relativeFrom="column">
                  <wp:posOffset>-956310</wp:posOffset>
                </wp:positionH>
                <wp:positionV relativeFrom="page">
                  <wp:posOffset>4257040</wp:posOffset>
                </wp:positionV>
                <wp:extent cx="5854065" cy="498475"/>
                <wp:effectExtent l="0" t="0" r="0" b="0"/>
                <wp:wrapNone/>
                <wp:docPr id="4" name="文本框 4"/>
                <wp:cNvGraphicFramePr/>
                <a:graphic xmlns:a="http://schemas.openxmlformats.org/drawingml/2006/main">
                  <a:graphicData uri="http://schemas.microsoft.com/office/word/2010/wordprocessingShape">
                    <wps:wsp>
                      <wps:cNvSpPr txBox="1"/>
                      <wps:spPr>
                        <a:xfrm>
                          <a:off x="0" y="0"/>
                          <a:ext cx="5854065" cy="498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03BAF0">
                            <w:pPr>
                              <w:rPr>
                                <w:color w:val="808080" w:themeColor="background1" w:themeShade="80"/>
                                <w:sz w:val="36"/>
                                <w:szCs w:val="36"/>
                              </w:rPr>
                            </w:pPr>
                            <w:r>
                              <w:rPr>
                                <w:rFonts w:hint="eastAsia"/>
                                <w:color w:val="808080" w:themeColor="background1" w:themeShade="80"/>
                                <w:sz w:val="36"/>
                                <w:szCs w:val="36"/>
                              </w:rPr>
                              <w:t xml:space="preserve">Village planning of Sanhe and changzhou Village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5.3pt;margin-top:335.2pt;height:39.25pt;width:460.95pt;mso-position-vertical-relative:page;z-index:251660288;mso-width-relative:page;mso-height-relative:page;" fillcolor="#FFFFFF [3201]" filled="t" stroked="f" coordsize="21600,21600" o:gfxdata="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Dh2rbnYAAAA&#10;DAEAAA8AAAAAAAAAAQAgAAAAIgAAAGRycy9kb3ducmV2LnhtbFBLAQIUABQAAAAIAIdO4kD2YbcS&#10;VgIAAJ0EAAAOAAAAAAAAAAEAIAAAACcBAABkcnMvZTJvRG9jLnhtbFBLBQYAAAAABgAGAFkBAADv&#10;BQAAAAA=&#10;">
                <v:fill on="t" focussize="0,0"/>
                <v:stroke on="f" weight="0.5pt"/>
                <v:imagedata o:title=""/>
                <o:lock v:ext="edit" aspectratio="f"/>
                <v:textbox>
                  <w:txbxContent>
                    <w:p w14:paraId="4C03BAF0">
                      <w:pPr>
                        <w:rPr>
                          <w:color w:val="808080" w:themeColor="background1" w:themeShade="80"/>
                          <w:sz w:val="36"/>
                          <w:szCs w:val="36"/>
                        </w:rPr>
                      </w:pPr>
                      <w:r>
                        <w:rPr>
                          <w:rFonts w:hint="eastAsia"/>
                          <w:color w:val="808080" w:themeColor="background1" w:themeShade="80"/>
                          <w:sz w:val="36"/>
                          <w:szCs w:val="36"/>
                        </w:rPr>
                        <w:t xml:space="preserve">Village planning of Sanhe and changzhou Village </w:t>
                      </w:r>
                    </w:p>
                  </w:txbxContent>
                </v:textbox>
              </v:shape>
            </w:pict>
          </mc:Fallback>
        </mc:AlternateContent>
      </w:r>
    </w:p>
    <w:p w14:paraId="43C834B2">
      <w:pPr>
        <w:pStyle w:val="2"/>
        <w:ind w:left="420"/>
      </w:pPr>
    </w:p>
    <w:p w14:paraId="729A6A80">
      <w:pPr>
        <w:pStyle w:val="2"/>
        <w:ind w:left="420"/>
      </w:pPr>
    </w:p>
    <w:p w14:paraId="28F4A889">
      <w:pPr>
        <w:pStyle w:val="2"/>
        <w:ind w:left="420"/>
      </w:pPr>
    </w:p>
    <w:p w14:paraId="4CF26929">
      <w:pPr>
        <w:pStyle w:val="2"/>
        <w:ind w:left="420"/>
      </w:pPr>
    </w:p>
    <w:p w14:paraId="0AB91820">
      <w:pPr>
        <w:pStyle w:val="2"/>
        <w:ind w:left="420"/>
      </w:pPr>
    </w:p>
    <w:p w14:paraId="79DF2903">
      <w:pPr>
        <w:pStyle w:val="2"/>
        <w:ind w:left="420"/>
      </w:pPr>
    </w:p>
    <w:p w14:paraId="01354A6F">
      <w:pPr>
        <w:pStyle w:val="2"/>
        <w:ind w:left="420"/>
      </w:pPr>
    </w:p>
    <w:p w14:paraId="74753ED7">
      <w:pPr>
        <w:pStyle w:val="2"/>
        <w:ind w:left="420"/>
      </w:pPr>
    </w:p>
    <w:p w14:paraId="50F8B8FD">
      <w:pPr>
        <w:pStyle w:val="2"/>
        <w:ind w:left="420"/>
      </w:pPr>
    </w:p>
    <w:p w14:paraId="70DDA317">
      <w:pPr>
        <w:pStyle w:val="2"/>
        <w:ind w:left="420"/>
      </w:pPr>
    </w:p>
    <w:p w14:paraId="01C699C1">
      <w:pPr>
        <w:pStyle w:val="2"/>
        <w:ind w:left="420"/>
      </w:pPr>
    </w:p>
    <w:p w14:paraId="3B051FE9">
      <w:pPr>
        <w:pStyle w:val="2"/>
        <w:ind w:left="420"/>
      </w:pPr>
    </w:p>
    <w:p w14:paraId="4EA5FA39">
      <w:pPr>
        <w:pStyle w:val="2"/>
        <w:ind w:left="420"/>
      </w:pPr>
    </w:p>
    <w:p w14:paraId="507D3F9D">
      <w:pPr>
        <w:pStyle w:val="2"/>
        <w:ind w:left="420"/>
      </w:pPr>
    </w:p>
    <w:p w14:paraId="6FFE3AE1">
      <w:pPr>
        <w:pStyle w:val="2"/>
        <w:ind w:left="420"/>
      </w:pPr>
    </w:p>
    <w:p w14:paraId="0725C992">
      <w:pPr>
        <w:pStyle w:val="2"/>
        <w:ind w:left="420"/>
      </w:pPr>
    </w:p>
    <w:p w14:paraId="4FB294DE">
      <w:pPr>
        <w:pStyle w:val="2"/>
        <w:ind w:left="420"/>
      </w:pPr>
    </w:p>
    <w:p w14:paraId="1105F6A5">
      <w:pPr>
        <w:pStyle w:val="2"/>
        <w:ind w:left="420"/>
      </w:pPr>
    </w:p>
    <w:p w14:paraId="2CD3E44B">
      <w:pPr>
        <w:pStyle w:val="2"/>
        <w:ind w:left="420"/>
      </w:pPr>
    </w:p>
    <w:p w14:paraId="57E9EE9B">
      <w:pPr>
        <w:pStyle w:val="2"/>
        <w:ind w:left="420"/>
      </w:pPr>
    </w:p>
    <w:p w14:paraId="44739696">
      <w:pPr>
        <w:pStyle w:val="2"/>
        <w:ind w:left="420"/>
      </w:pPr>
    </w:p>
    <w:p w14:paraId="2164D003">
      <w:pPr>
        <w:pStyle w:val="2"/>
        <w:ind w:left="420"/>
      </w:pPr>
    </w:p>
    <w:p w14:paraId="13EA24A8">
      <w:pPr>
        <w:pStyle w:val="2"/>
        <w:spacing w:line="360" w:lineRule="auto"/>
        <w:ind w:left="420" w:firstLine="539"/>
        <w:rPr>
          <w:rFonts w:ascii="黑体" w:hAnsi="黑体" w:eastAsia="黑体"/>
          <w:sz w:val="28"/>
          <w:szCs w:val="28"/>
        </w:rPr>
      </w:pPr>
      <w:r>
        <w:rPr>
          <w:rFonts w:hint="eastAsia" w:ascii="黑体" w:hAnsi="黑体" w:eastAsia="黑体"/>
          <w:sz w:val="28"/>
          <w:szCs w:val="28"/>
        </w:rPr>
        <w:t>重庆市荣昌区盘龙镇人民政府</w:t>
      </w:r>
    </w:p>
    <w:p w14:paraId="1DE82E98">
      <w:pPr>
        <w:pStyle w:val="2"/>
        <w:spacing w:line="360" w:lineRule="auto"/>
        <w:ind w:left="420" w:firstLine="539"/>
        <w:sectPr>
          <w:headerReference r:id="rId3" w:type="default"/>
          <w:pgSz w:w="11906" w:h="16838"/>
          <w:pgMar w:top="1440" w:right="1800" w:bottom="1440" w:left="1800" w:header="851" w:footer="992" w:gutter="0"/>
          <w:cols w:space="425" w:num="1"/>
          <w:docGrid w:type="lines" w:linePitch="312" w:charSpace="0"/>
        </w:sectPr>
      </w:pPr>
      <w:r>
        <w:rPr>
          <w:rFonts w:hint="eastAsia" w:ascii="黑体" w:hAnsi="黑体" w:eastAsia="黑体"/>
          <w:sz w:val="28"/>
          <w:szCs w:val="28"/>
        </w:rPr>
        <w:t>二〇二四年九月</w:t>
      </w:r>
    </w:p>
    <w:p w14:paraId="457C7883">
      <w:pPr>
        <w:spacing w:line="360" w:lineRule="auto"/>
        <w:jc w:val="center"/>
        <w:rPr>
          <w:rFonts w:ascii="黑体" w:hAnsi="黑体" w:eastAsia="黑体"/>
          <w:sz w:val="44"/>
          <w:szCs w:val="44"/>
        </w:rPr>
      </w:pPr>
      <w:r>
        <w:rPr>
          <w:rFonts w:hint="eastAsia" w:ascii="黑体" w:hAnsi="黑体" w:eastAsia="黑体"/>
          <w:sz w:val="44"/>
          <w:szCs w:val="44"/>
        </w:rPr>
        <w:t>荣昌区</w:t>
      </w:r>
      <w:r>
        <w:rPr>
          <w:rFonts w:ascii="黑体" w:hAnsi="黑体" w:eastAsia="黑体"/>
          <w:sz w:val="44"/>
          <w:szCs w:val="44"/>
        </w:rPr>
        <w:t>盘龙镇三合村和昌州</w:t>
      </w:r>
      <w:r>
        <w:rPr>
          <w:rFonts w:hint="eastAsia" w:ascii="黑体" w:hAnsi="黑体" w:eastAsia="黑体"/>
          <w:sz w:val="44"/>
          <w:szCs w:val="44"/>
        </w:rPr>
        <w:t>村村庄规划</w:t>
      </w:r>
    </w:p>
    <w:p w14:paraId="532806FD">
      <w:pPr>
        <w:spacing w:line="360" w:lineRule="auto"/>
        <w:jc w:val="center"/>
        <w:rPr>
          <w:rFonts w:ascii="黑体" w:hAnsi="黑体" w:eastAsia="黑体"/>
          <w:sz w:val="36"/>
          <w:szCs w:val="36"/>
        </w:rPr>
      </w:pPr>
    </w:p>
    <w:p w14:paraId="41A10A1A">
      <w:pPr>
        <w:spacing w:line="360" w:lineRule="auto"/>
        <w:jc w:val="center"/>
        <w:rPr>
          <w:rFonts w:ascii="黑体" w:hAnsi="黑体" w:eastAsia="黑体"/>
          <w:sz w:val="36"/>
          <w:szCs w:val="36"/>
        </w:rPr>
      </w:pPr>
    </w:p>
    <w:p w14:paraId="5A0D5A64">
      <w:pPr>
        <w:spacing w:line="360" w:lineRule="auto"/>
        <w:jc w:val="center"/>
        <w:rPr>
          <w:rFonts w:ascii="黑体" w:hAnsi="黑体" w:eastAsia="黑体"/>
          <w:sz w:val="36"/>
          <w:szCs w:val="36"/>
        </w:rPr>
      </w:pPr>
    </w:p>
    <w:p w14:paraId="4D518B17">
      <w:pPr>
        <w:spacing w:line="360" w:lineRule="auto"/>
        <w:jc w:val="center"/>
        <w:rPr>
          <w:rFonts w:ascii="黑体" w:hAnsi="黑体" w:eastAsia="黑体"/>
          <w:sz w:val="36"/>
          <w:szCs w:val="36"/>
        </w:rPr>
      </w:pPr>
    </w:p>
    <w:p w14:paraId="4C51C640">
      <w:pPr>
        <w:spacing w:line="360" w:lineRule="auto"/>
        <w:jc w:val="left"/>
        <w:rPr>
          <w:rFonts w:ascii="方正仿宋_GBK" w:eastAsia="方正仿宋_GBK"/>
          <w:b/>
          <w:sz w:val="32"/>
          <w:szCs w:val="32"/>
        </w:rPr>
      </w:pPr>
      <w:r>
        <w:rPr>
          <w:rFonts w:hint="eastAsia" w:ascii="方正仿宋_GBK" w:eastAsia="方正仿宋_GBK"/>
          <w:b/>
          <w:sz w:val="32"/>
          <w:szCs w:val="32"/>
        </w:rPr>
        <w:t>项目委托单位：重庆市荣昌区盘龙镇人民政府</w:t>
      </w:r>
    </w:p>
    <w:p w14:paraId="782F575E">
      <w:pPr>
        <w:spacing w:line="360" w:lineRule="auto"/>
        <w:jc w:val="left"/>
        <w:rPr>
          <w:rFonts w:ascii="方正仿宋_GBK" w:eastAsia="方正仿宋_GBK"/>
          <w:b/>
          <w:sz w:val="32"/>
          <w:szCs w:val="32"/>
        </w:rPr>
      </w:pPr>
      <w:r>
        <w:rPr>
          <w:rFonts w:hint="eastAsia" w:ascii="方正仿宋_GBK" w:eastAsia="方正仿宋_GBK"/>
          <w:b/>
          <w:sz w:val="32"/>
          <w:szCs w:val="32"/>
        </w:rPr>
        <w:t>负责人：</w:t>
      </w:r>
    </w:p>
    <w:p w14:paraId="4B37B459">
      <w:pPr>
        <w:spacing w:line="360" w:lineRule="auto"/>
        <w:jc w:val="center"/>
        <w:rPr>
          <w:rFonts w:ascii="黑体" w:hAnsi="黑体" w:eastAsia="黑体"/>
          <w:sz w:val="36"/>
          <w:szCs w:val="36"/>
        </w:rPr>
      </w:pPr>
    </w:p>
    <w:p w14:paraId="330E9645">
      <w:pPr>
        <w:spacing w:line="360" w:lineRule="auto"/>
        <w:jc w:val="center"/>
        <w:rPr>
          <w:rFonts w:ascii="黑体" w:hAnsi="黑体" w:eastAsia="黑体"/>
          <w:sz w:val="36"/>
          <w:szCs w:val="36"/>
        </w:rPr>
      </w:pPr>
    </w:p>
    <w:p w14:paraId="51A7AA09">
      <w:pPr>
        <w:spacing w:line="360" w:lineRule="auto"/>
        <w:jc w:val="center"/>
        <w:rPr>
          <w:rFonts w:ascii="黑体" w:hAnsi="黑体" w:eastAsia="黑体"/>
          <w:sz w:val="36"/>
          <w:szCs w:val="36"/>
        </w:rPr>
      </w:pPr>
    </w:p>
    <w:p w14:paraId="2832F45C">
      <w:pPr>
        <w:spacing w:line="360" w:lineRule="auto"/>
        <w:jc w:val="center"/>
        <w:rPr>
          <w:rFonts w:ascii="黑体" w:hAnsi="黑体" w:eastAsia="黑体"/>
          <w:sz w:val="36"/>
          <w:szCs w:val="36"/>
        </w:rPr>
      </w:pPr>
    </w:p>
    <w:p w14:paraId="45D54623">
      <w:pPr>
        <w:spacing w:line="360" w:lineRule="auto"/>
        <w:rPr>
          <w:rFonts w:ascii="黑体" w:hAnsi="黑体" w:eastAsia="黑体"/>
          <w:sz w:val="36"/>
          <w:szCs w:val="36"/>
        </w:rPr>
      </w:pPr>
    </w:p>
    <w:p w14:paraId="21F088F4">
      <w:pPr>
        <w:spacing w:line="360" w:lineRule="auto"/>
        <w:jc w:val="center"/>
        <w:rPr>
          <w:rFonts w:ascii="黑体" w:hAnsi="黑体" w:eastAsia="黑体"/>
          <w:sz w:val="36"/>
          <w:szCs w:val="36"/>
        </w:rPr>
      </w:pPr>
    </w:p>
    <w:p w14:paraId="35CD7A0E">
      <w:pPr>
        <w:pStyle w:val="2"/>
        <w:ind w:left="420"/>
      </w:pPr>
    </w:p>
    <w:p w14:paraId="26D03EEF">
      <w:pPr>
        <w:pStyle w:val="2"/>
        <w:ind w:left="420"/>
      </w:pPr>
    </w:p>
    <w:p w14:paraId="1E0B141E">
      <w:pPr>
        <w:pStyle w:val="2"/>
        <w:ind w:left="420"/>
      </w:pPr>
    </w:p>
    <w:p w14:paraId="2A0F8CB4">
      <w:pPr>
        <w:pStyle w:val="2"/>
        <w:ind w:left="420"/>
      </w:pPr>
    </w:p>
    <w:p w14:paraId="23C2C31F">
      <w:pPr>
        <w:spacing w:line="360" w:lineRule="auto"/>
        <w:rPr>
          <w:rFonts w:ascii="方正仿宋_GBK" w:eastAsia="方正仿宋_GBK"/>
          <w:b/>
          <w:sz w:val="32"/>
          <w:szCs w:val="32"/>
        </w:rPr>
      </w:pPr>
      <w:r>
        <w:rPr>
          <w:rFonts w:hint="eastAsia" w:ascii="方正仿宋_GBK" w:eastAsia="方正仿宋_GBK"/>
          <w:b/>
          <w:sz w:val="30"/>
          <w:szCs w:val="30"/>
        </w:rPr>
        <w:t>编制单位：重庆汇晟土地勘测规划设计有限公司</w:t>
      </w:r>
    </w:p>
    <w:p w14:paraId="01C444DF">
      <w:pPr>
        <w:spacing w:line="360" w:lineRule="auto"/>
        <w:rPr>
          <w:rFonts w:ascii="方正仿宋_GBK" w:eastAsia="方正仿宋_GBK"/>
          <w:b/>
          <w:sz w:val="32"/>
          <w:szCs w:val="32"/>
        </w:rPr>
      </w:pPr>
      <w:r>
        <w:rPr>
          <w:rFonts w:hint="eastAsia" w:ascii="方正仿宋_GBK" w:eastAsia="方正仿宋_GBK"/>
          <w:b/>
          <w:sz w:val="30"/>
          <w:szCs w:val="30"/>
        </w:rPr>
        <w:t>项目负责人：王雅男</w:t>
      </w:r>
    </w:p>
    <w:p w14:paraId="6192D2DC">
      <w:pPr>
        <w:spacing w:line="360" w:lineRule="auto"/>
        <w:rPr>
          <w:rFonts w:ascii="方正仿宋_GBK" w:eastAsia="方正仿宋_GBK"/>
          <w:b/>
          <w:sz w:val="30"/>
          <w:szCs w:val="30"/>
        </w:rPr>
      </w:pPr>
      <w:r>
        <w:rPr>
          <w:rFonts w:hint="eastAsia" w:ascii="方正仿宋_GBK" w:eastAsia="方正仿宋_GBK"/>
          <w:b/>
          <w:sz w:val="30"/>
          <w:szCs w:val="30"/>
        </w:rPr>
        <w:t>项目技术负责人：闫能为</w:t>
      </w:r>
      <w:r>
        <w:rPr>
          <w:rFonts w:hint="eastAsia" w:ascii="方正仿宋_GBK" w:eastAsia="方正仿宋_GBK"/>
          <w:b/>
          <w:sz w:val="30"/>
          <w:szCs w:val="30"/>
        </w:rPr>
        <w:tab/>
      </w:r>
      <w:r>
        <w:rPr>
          <w:rFonts w:hint="eastAsia" w:ascii="方正仿宋_GBK" w:eastAsia="方正仿宋_GBK"/>
          <w:b/>
          <w:sz w:val="30"/>
          <w:szCs w:val="30"/>
        </w:rPr>
        <w:br w:type="textWrapping"/>
      </w:r>
      <w:r>
        <w:rPr>
          <w:rFonts w:hint="eastAsia" w:ascii="方正仿宋_GBK" w:eastAsia="方正仿宋_GBK"/>
          <w:b/>
          <w:sz w:val="30"/>
          <w:szCs w:val="30"/>
        </w:rPr>
        <w:t>报告编写人：余娅秋</w:t>
      </w:r>
    </w:p>
    <w:p w14:paraId="03DD5899">
      <w:pPr>
        <w:spacing w:line="360" w:lineRule="auto"/>
        <w:rPr>
          <w:rFonts w:ascii="方正仿宋_GBK" w:eastAsia="方正仿宋_GBK"/>
          <w:b/>
          <w:sz w:val="30"/>
          <w:szCs w:val="30"/>
        </w:rPr>
        <w:sectPr>
          <w:pgSz w:w="11906" w:h="16838"/>
          <w:pgMar w:top="1440" w:right="1800" w:bottom="1440" w:left="1800" w:header="851" w:footer="992" w:gutter="0"/>
          <w:pgNumType w:fmt="upperRoman" w:start="1"/>
          <w:cols w:space="720" w:num="1"/>
          <w:titlePg/>
          <w:docGrid w:type="lines" w:linePitch="312" w:charSpace="0"/>
        </w:sectPr>
      </w:pPr>
      <w:r>
        <w:rPr>
          <w:rFonts w:hint="eastAsia" w:ascii="方正仿宋_GBK" w:eastAsia="方正仿宋_GBK"/>
          <w:b/>
          <w:sz w:val="30"/>
          <w:szCs w:val="30"/>
        </w:rPr>
        <w:t>审核人：何浪</w:t>
      </w:r>
      <w:r>
        <w:rPr>
          <w:rFonts w:hint="eastAsia" w:ascii="方正仿宋_GBK" w:eastAsia="方正仿宋_GBK"/>
          <w:b/>
          <w:sz w:val="30"/>
          <w:szCs w:val="30"/>
        </w:rPr>
        <w:br w:type="textWrapping"/>
      </w:r>
      <w:r>
        <w:rPr>
          <w:rFonts w:hint="eastAsia" w:ascii="方正仿宋_GBK" w:eastAsia="方正仿宋_GBK"/>
          <w:b/>
          <w:sz w:val="30"/>
          <w:szCs w:val="30"/>
        </w:rPr>
        <w:t>编制时间：2024年9月</w:t>
      </w:r>
    </w:p>
    <w:p w14:paraId="25EC50A5">
      <w:pPr>
        <w:pStyle w:val="11"/>
      </w:pPr>
      <w:r>
        <w:drawing>
          <wp:inline distT="0" distB="0" distL="0" distR="0">
            <wp:extent cx="5274310" cy="3726180"/>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4310" cy="3726202"/>
                    </a:xfrm>
                    <a:prstGeom prst="rect">
                      <a:avLst/>
                    </a:prstGeom>
                  </pic:spPr>
                </pic:pic>
              </a:graphicData>
            </a:graphic>
          </wp:inline>
        </w:drawing>
      </w:r>
    </w:p>
    <w:p w14:paraId="70B5568B">
      <w:pPr>
        <w:pStyle w:val="11"/>
      </w:pPr>
    </w:p>
    <w:p w14:paraId="79CCD46E">
      <w:pPr>
        <w:pStyle w:val="11"/>
      </w:pPr>
      <w:r>
        <w:drawing>
          <wp:inline distT="0" distB="0" distL="0" distR="0">
            <wp:extent cx="5156200" cy="3296920"/>
            <wp:effectExtent l="0" t="0" r="6350" b="0"/>
            <wp:docPr id="6" name="图片 6" descr="J:\小猪佩奇盘\模板\2024公司资质和营业执照\汇晟资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J:\小猪佩奇盘\模板\2024公司资质和营业执照\汇晟资质.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162373" cy="3300568"/>
                    </a:xfrm>
                    <a:prstGeom prst="rect">
                      <a:avLst/>
                    </a:prstGeom>
                    <a:noFill/>
                    <a:ln>
                      <a:noFill/>
                    </a:ln>
                  </pic:spPr>
                </pic:pic>
              </a:graphicData>
            </a:graphic>
          </wp:inline>
        </w:drawing>
      </w:r>
    </w:p>
    <w:p w14:paraId="5CAE457F">
      <w:pPr>
        <w:sectPr>
          <w:headerReference r:id="rId4" w:type="default"/>
          <w:pgSz w:w="11906" w:h="16838"/>
          <w:pgMar w:top="1440" w:right="1800" w:bottom="1440" w:left="1800" w:header="851" w:footer="992" w:gutter="0"/>
          <w:cols w:space="425" w:num="1"/>
          <w:docGrid w:type="lines" w:linePitch="312" w:charSpace="0"/>
        </w:sectPr>
      </w:pPr>
    </w:p>
    <w:sdt>
      <w:sdtPr>
        <w:rPr>
          <w:rFonts w:asciiTheme="minorHAnsi" w:hAnsiTheme="minorHAnsi" w:eastAsiaTheme="minorEastAsia" w:cstheme="minorBidi"/>
          <w:b w:val="0"/>
          <w:bCs w:val="0"/>
          <w:color w:val="auto"/>
          <w:kern w:val="2"/>
          <w:sz w:val="21"/>
          <w:szCs w:val="22"/>
          <w:lang w:val="zh-CN"/>
        </w:rPr>
        <w:id w:val="-303246606"/>
        <w:docPartObj>
          <w:docPartGallery w:val="Table of Contents"/>
          <w:docPartUnique/>
        </w:docPartObj>
      </w:sdtPr>
      <w:sdtEndPr>
        <w:rPr>
          <w:rFonts w:asciiTheme="minorHAnsi" w:hAnsiTheme="minorHAnsi" w:eastAsiaTheme="minorEastAsia" w:cstheme="minorBidi"/>
          <w:b w:val="0"/>
          <w:bCs w:val="0"/>
          <w:color w:val="auto"/>
          <w:kern w:val="2"/>
          <w:sz w:val="21"/>
          <w:szCs w:val="22"/>
          <w:lang w:val="zh-CN"/>
        </w:rPr>
      </w:sdtEndPr>
      <w:sdtContent>
        <w:p w14:paraId="0F5C1C61">
          <w:pPr>
            <w:pStyle w:val="17"/>
            <w:jc w:val="center"/>
            <w:rPr>
              <w:rFonts w:ascii="黑体" w:hAnsi="黑体" w:eastAsia="黑体"/>
              <w:color w:val="auto"/>
              <w:sz w:val="32"/>
              <w:szCs w:val="32"/>
            </w:rPr>
          </w:pPr>
          <w:r>
            <w:rPr>
              <w:rFonts w:ascii="黑体" w:hAnsi="黑体" w:eastAsia="黑体"/>
              <w:color w:val="auto"/>
              <w:sz w:val="32"/>
              <w:szCs w:val="32"/>
              <w:lang w:val="zh-CN"/>
            </w:rPr>
            <w:t>目</w:t>
          </w:r>
          <w:r>
            <w:rPr>
              <w:rFonts w:hint="eastAsia" w:ascii="黑体" w:hAnsi="黑体" w:eastAsia="黑体"/>
              <w:color w:val="auto"/>
              <w:sz w:val="32"/>
              <w:szCs w:val="32"/>
              <w:lang w:val="zh-CN"/>
            </w:rPr>
            <w:t xml:space="preserve">  </w:t>
          </w:r>
          <w:r>
            <w:rPr>
              <w:rFonts w:ascii="黑体" w:hAnsi="黑体" w:eastAsia="黑体"/>
              <w:color w:val="auto"/>
              <w:sz w:val="32"/>
              <w:szCs w:val="32"/>
              <w:lang w:val="zh-CN"/>
            </w:rPr>
            <w:t>录</w:t>
          </w:r>
        </w:p>
        <w:p w14:paraId="6A5C4EA3">
          <w:pPr>
            <w:pStyle w:val="9"/>
            <w:tabs>
              <w:tab w:val="right" w:leader="dot" w:pos="8296"/>
            </w:tabs>
            <w:spacing w:line="360" w:lineRule="auto"/>
            <w:rPr>
              <w:rFonts w:ascii="黑体" w:hAnsi="黑体" w:eastAsia="黑体"/>
              <w:sz w:val="24"/>
              <w:szCs w:val="24"/>
            </w:rPr>
          </w:pPr>
          <w:r>
            <w:rPr>
              <w:rFonts w:ascii="黑体" w:hAnsi="黑体" w:eastAsia="黑体"/>
              <w:sz w:val="24"/>
              <w:szCs w:val="24"/>
            </w:rPr>
            <w:fldChar w:fldCharType="begin"/>
          </w:r>
          <w:r>
            <w:rPr>
              <w:rFonts w:ascii="黑体" w:hAnsi="黑体" w:eastAsia="黑体"/>
              <w:sz w:val="24"/>
              <w:szCs w:val="24"/>
            </w:rPr>
            <w:instrText xml:space="preserve"> TOC \o "1-3" \h \z \u </w:instrText>
          </w:r>
          <w:r>
            <w:rPr>
              <w:rFonts w:ascii="黑体" w:hAnsi="黑体" w:eastAsia="黑体"/>
              <w:sz w:val="24"/>
              <w:szCs w:val="24"/>
            </w:rPr>
            <w:fldChar w:fldCharType="separate"/>
          </w:r>
          <w:r>
            <w:fldChar w:fldCharType="begin"/>
          </w:r>
          <w:r>
            <w:instrText xml:space="preserve"> HYPERLINK \l "_Toc177049521" </w:instrText>
          </w:r>
          <w:r>
            <w:fldChar w:fldCharType="separate"/>
          </w:r>
          <w:r>
            <w:rPr>
              <w:rStyle w:val="14"/>
              <w:rFonts w:hint="eastAsia" w:ascii="黑体" w:hAnsi="黑体" w:eastAsia="黑体"/>
              <w:sz w:val="24"/>
              <w:szCs w:val="24"/>
            </w:rPr>
            <w:t>第一章</w:t>
          </w:r>
          <w:r>
            <w:rPr>
              <w:rStyle w:val="14"/>
              <w:rFonts w:ascii="黑体" w:hAnsi="黑体" w:eastAsia="黑体"/>
              <w:sz w:val="24"/>
              <w:szCs w:val="24"/>
            </w:rPr>
            <w:t xml:space="preserve"> </w:t>
          </w:r>
          <w:r>
            <w:rPr>
              <w:rStyle w:val="14"/>
              <w:rFonts w:hint="eastAsia" w:ascii="黑体" w:hAnsi="黑体" w:eastAsia="黑体"/>
              <w:sz w:val="24"/>
              <w:szCs w:val="24"/>
            </w:rPr>
            <w:t>项目背景与基本情况</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_Toc177049521 \h </w:instrText>
          </w:r>
          <w:r>
            <w:rPr>
              <w:rFonts w:ascii="黑体" w:hAnsi="黑体" w:eastAsia="黑体"/>
              <w:sz w:val="24"/>
              <w:szCs w:val="24"/>
            </w:rPr>
            <w:fldChar w:fldCharType="separate"/>
          </w:r>
          <w:r>
            <w:rPr>
              <w:rFonts w:ascii="黑体" w:hAnsi="黑体" w:eastAsia="黑体"/>
              <w:sz w:val="24"/>
              <w:szCs w:val="24"/>
            </w:rPr>
            <w:t>1</w:t>
          </w:r>
          <w:r>
            <w:rPr>
              <w:rFonts w:ascii="黑体" w:hAnsi="黑体" w:eastAsia="黑体"/>
              <w:sz w:val="24"/>
              <w:szCs w:val="24"/>
            </w:rPr>
            <w:fldChar w:fldCharType="end"/>
          </w:r>
          <w:r>
            <w:rPr>
              <w:rFonts w:ascii="黑体" w:hAnsi="黑体" w:eastAsia="黑体"/>
              <w:sz w:val="24"/>
              <w:szCs w:val="24"/>
            </w:rPr>
            <w:fldChar w:fldCharType="end"/>
          </w:r>
        </w:p>
        <w:p w14:paraId="7241C4EA">
          <w:pPr>
            <w:pStyle w:val="10"/>
            <w:tabs>
              <w:tab w:val="right" w:leader="dot" w:pos="8296"/>
            </w:tabs>
            <w:spacing w:line="360" w:lineRule="auto"/>
            <w:rPr>
              <w:rFonts w:ascii="黑体" w:hAnsi="黑体" w:eastAsia="黑体"/>
              <w:sz w:val="24"/>
              <w:szCs w:val="24"/>
            </w:rPr>
          </w:pPr>
          <w:r>
            <w:fldChar w:fldCharType="begin"/>
          </w:r>
          <w:r>
            <w:instrText xml:space="preserve"> HYPERLINK \l "_Toc177049522" </w:instrText>
          </w:r>
          <w:r>
            <w:fldChar w:fldCharType="separate"/>
          </w:r>
          <w:r>
            <w:rPr>
              <w:rStyle w:val="14"/>
              <w:rFonts w:ascii="黑体" w:hAnsi="黑体" w:eastAsia="黑体"/>
              <w:sz w:val="24"/>
              <w:szCs w:val="24"/>
            </w:rPr>
            <w:t>1</w:t>
          </w:r>
          <w:r>
            <w:rPr>
              <w:rStyle w:val="14"/>
              <w:rFonts w:hint="eastAsia" w:ascii="黑体" w:hAnsi="黑体" w:eastAsia="黑体"/>
              <w:sz w:val="24"/>
              <w:szCs w:val="24"/>
            </w:rPr>
            <w:t>、项目背景</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_Toc177049522 \h </w:instrText>
          </w:r>
          <w:r>
            <w:rPr>
              <w:rFonts w:ascii="黑体" w:hAnsi="黑体" w:eastAsia="黑体"/>
              <w:sz w:val="24"/>
              <w:szCs w:val="24"/>
            </w:rPr>
            <w:fldChar w:fldCharType="separate"/>
          </w:r>
          <w:r>
            <w:rPr>
              <w:rFonts w:ascii="黑体" w:hAnsi="黑体" w:eastAsia="黑体"/>
              <w:sz w:val="24"/>
              <w:szCs w:val="24"/>
            </w:rPr>
            <w:t>1</w:t>
          </w:r>
          <w:r>
            <w:rPr>
              <w:rFonts w:ascii="黑体" w:hAnsi="黑体" w:eastAsia="黑体"/>
              <w:sz w:val="24"/>
              <w:szCs w:val="24"/>
            </w:rPr>
            <w:fldChar w:fldCharType="end"/>
          </w:r>
          <w:r>
            <w:rPr>
              <w:rFonts w:ascii="黑体" w:hAnsi="黑体" w:eastAsia="黑体"/>
              <w:sz w:val="24"/>
              <w:szCs w:val="24"/>
            </w:rPr>
            <w:fldChar w:fldCharType="end"/>
          </w:r>
        </w:p>
        <w:p w14:paraId="602C2EF4">
          <w:pPr>
            <w:pStyle w:val="10"/>
            <w:tabs>
              <w:tab w:val="right" w:leader="dot" w:pos="8296"/>
            </w:tabs>
            <w:spacing w:line="360" w:lineRule="auto"/>
            <w:rPr>
              <w:rFonts w:ascii="黑体" w:hAnsi="黑体" w:eastAsia="黑体"/>
              <w:sz w:val="24"/>
              <w:szCs w:val="24"/>
            </w:rPr>
          </w:pPr>
          <w:r>
            <w:fldChar w:fldCharType="begin"/>
          </w:r>
          <w:r>
            <w:instrText xml:space="preserve"> HYPERLINK \l "_Toc177049523" </w:instrText>
          </w:r>
          <w:r>
            <w:fldChar w:fldCharType="separate"/>
          </w:r>
          <w:r>
            <w:rPr>
              <w:rStyle w:val="14"/>
              <w:rFonts w:ascii="黑体" w:hAnsi="黑体" w:eastAsia="黑体"/>
              <w:sz w:val="24"/>
              <w:szCs w:val="24"/>
            </w:rPr>
            <w:t>2</w:t>
          </w:r>
          <w:r>
            <w:rPr>
              <w:rStyle w:val="14"/>
              <w:rFonts w:hint="eastAsia" w:ascii="黑体" w:hAnsi="黑体" w:eastAsia="黑体"/>
              <w:sz w:val="24"/>
              <w:szCs w:val="24"/>
            </w:rPr>
            <w:t>、基本情况</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_Toc177049523 \h </w:instrText>
          </w:r>
          <w:r>
            <w:rPr>
              <w:rFonts w:ascii="黑体" w:hAnsi="黑体" w:eastAsia="黑体"/>
              <w:sz w:val="24"/>
              <w:szCs w:val="24"/>
            </w:rPr>
            <w:fldChar w:fldCharType="separate"/>
          </w:r>
          <w:r>
            <w:rPr>
              <w:rFonts w:ascii="黑体" w:hAnsi="黑体" w:eastAsia="黑体"/>
              <w:sz w:val="24"/>
              <w:szCs w:val="24"/>
            </w:rPr>
            <w:t>1</w:t>
          </w:r>
          <w:r>
            <w:rPr>
              <w:rFonts w:ascii="黑体" w:hAnsi="黑体" w:eastAsia="黑体"/>
              <w:sz w:val="24"/>
              <w:szCs w:val="24"/>
            </w:rPr>
            <w:fldChar w:fldCharType="end"/>
          </w:r>
          <w:r>
            <w:rPr>
              <w:rFonts w:ascii="黑体" w:hAnsi="黑体" w:eastAsia="黑体"/>
              <w:sz w:val="24"/>
              <w:szCs w:val="24"/>
            </w:rPr>
            <w:fldChar w:fldCharType="end"/>
          </w:r>
        </w:p>
        <w:p w14:paraId="1A1240B4">
          <w:pPr>
            <w:pStyle w:val="9"/>
            <w:tabs>
              <w:tab w:val="right" w:leader="dot" w:pos="8296"/>
            </w:tabs>
            <w:spacing w:line="360" w:lineRule="auto"/>
            <w:rPr>
              <w:rFonts w:ascii="黑体" w:hAnsi="黑体" w:eastAsia="黑体"/>
              <w:sz w:val="24"/>
              <w:szCs w:val="24"/>
            </w:rPr>
          </w:pPr>
          <w:r>
            <w:fldChar w:fldCharType="begin"/>
          </w:r>
          <w:r>
            <w:instrText xml:space="preserve"> HYPERLINK \l "_Toc177049524" </w:instrText>
          </w:r>
          <w:r>
            <w:fldChar w:fldCharType="separate"/>
          </w:r>
          <w:r>
            <w:rPr>
              <w:rStyle w:val="14"/>
              <w:rFonts w:hint="eastAsia" w:ascii="黑体" w:hAnsi="黑体" w:eastAsia="黑体"/>
              <w:sz w:val="24"/>
              <w:szCs w:val="24"/>
            </w:rPr>
            <w:t>第二章</w:t>
          </w:r>
          <w:r>
            <w:rPr>
              <w:rStyle w:val="14"/>
              <w:rFonts w:ascii="黑体" w:hAnsi="黑体" w:eastAsia="黑体"/>
              <w:sz w:val="24"/>
              <w:szCs w:val="24"/>
            </w:rPr>
            <w:t xml:space="preserve">  </w:t>
          </w:r>
          <w:r>
            <w:rPr>
              <w:rStyle w:val="14"/>
              <w:rFonts w:hint="eastAsia" w:ascii="黑体" w:hAnsi="黑体" w:eastAsia="黑体"/>
              <w:sz w:val="24"/>
              <w:szCs w:val="24"/>
            </w:rPr>
            <w:t>项目选址论证情况</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_Toc177049524 \h </w:instrText>
          </w:r>
          <w:r>
            <w:rPr>
              <w:rFonts w:ascii="黑体" w:hAnsi="黑体" w:eastAsia="黑体"/>
              <w:sz w:val="24"/>
              <w:szCs w:val="24"/>
            </w:rPr>
            <w:fldChar w:fldCharType="separate"/>
          </w:r>
          <w:r>
            <w:rPr>
              <w:rFonts w:ascii="黑体" w:hAnsi="黑体" w:eastAsia="黑体"/>
              <w:sz w:val="24"/>
              <w:szCs w:val="24"/>
            </w:rPr>
            <w:t>2</w:t>
          </w:r>
          <w:r>
            <w:rPr>
              <w:rFonts w:ascii="黑体" w:hAnsi="黑体" w:eastAsia="黑体"/>
              <w:sz w:val="24"/>
              <w:szCs w:val="24"/>
            </w:rPr>
            <w:fldChar w:fldCharType="end"/>
          </w:r>
          <w:r>
            <w:rPr>
              <w:rFonts w:ascii="黑体" w:hAnsi="黑体" w:eastAsia="黑体"/>
              <w:sz w:val="24"/>
              <w:szCs w:val="24"/>
            </w:rPr>
            <w:fldChar w:fldCharType="end"/>
          </w:r>
        </w:p>
        <w:p w14:paraId="4948E8BF">
          <w:pPr>
            <w:pStyle w:val="9"/>
            <w:tabs>
              <w:tab w:val="right" w:leader="dot" w:pos="8296"/>
            </w:tabs>
            <w:spacing w:line="360" w:lineRule="auto"/>
            <w:rPr>
              <w:rFonts w:ascii="黑体" w:hAnsi="黑体" w:eastAsia="黑体"/>
              <w:sz w:val="24"/>
              <w:szCs w:val="24"/>
            </w:rPr>
          </w:pPr>
          <w:r>
            <w:fldChar w:fldCharType="begin"/>
          </w:r>
          <w:r>
            <w:instrText xml:space="preserve"> HYPERLINK \l "_Toc177049525" </w:instrText>
          </w:r>
          <w:r>
            <w:fldChar w:fldCharType="separate"/>
          </w:r>
          <w:r>
            <w:rPr>
              <w:rStyle w:val="14"/>
              <w:rFonts w:hint="eastAsia" w:ascii="黑体" w:hAnsi="黑体" w:eastAsia="黑体"/>
              <w:sz w:val="24"/>
              <w:szCs w:val="24"/>
            </w:rPr>
            <w:t>第三章</w:t>
          </w:r>
          <w:r>
            <w:rPr>
              <w:rStyle w:val="14"/>
              <w:rFonts w:ascii="黑体" w:hAnsi="黑体" w:eastAsia="黑体"/>
              <w:sz w:val="24"/>
              <w:szCs w:val="24"/>
            </w:rPr>
            <w:t xml:space="preserve">  </w:t>
          </w:r>
          <w:r>
            <w:rPr>
              <w:rStyle w:val="14"/>
              <w:rFonts w:hint="eastAsia" w:ascii="黑体" w:hAnsi="黑体" w:eastAsia="黑体"/>
              <w:sz w:val="24"/>
              <w:szCs w:val="24"/>
            </w:rPr>
            <w:t>项目范围与重要空间管控线的关系</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_Toc177049525 \h </w:instrText>
          </w:r>
          <w:r>
            <w:rPr>
              <w:rFonts w:ascii="黑体" w:hAnsi="黑体" w:eastAsia="黑体"/>
              <w:sz w:val="24"/>
              <w:szCs w:val="24"/>
            </w:rPr>
            <w:fldChar w:fldCharType="separate"/>
          </w:r>
          <w:r>
            <w:rPr>
              <w:rFonts w:ascii="黑体" w:hAnsi="黑体" w:eastAsia="黑体"/>
              <w:sz w:val="24"/>
              <w:szCs w:val="24"/>
            </w:rPr>
            <w:t>3</w:t>
          </w:r>
          <w:r>
            <w:rPr>
              <w:rFonts w:ascii="黑体" w:hAnsi="黑体" w:eastAsia="黑体"/>
              <w:sz w:val="24"/>
              <w:szCs w:val="24"/>
            </w:rPr>
            <w:fldChar w:fldCharType="end"/>
          </w:r>
          <w:r>
            <w:rPr>
              <w:rFonts w:ascii="黑体" w:hAnsi="黑体" w:eastAsia="黑体"/>
              <w:sz w:val="24"/>
              <w:szCs w:val="24"/>
            </w:rPr>
            <w:fldChar w:fldCharType="end"/>
          </w:r>
        </w:p>
        <w:p w14:paraId="0D15B970">
          <w:pPr>
            <w:pStyle w:val="10"/>
            <w:tabs>
              <w:tab w:val="right" w:leader="dot" w:pos="8296"/>
            </w:tabs>
            <w:spacing w:line="360" w:lineRule="auto"/>
            <w:rPr>
              <w:rFonts w:ascii="黑体" w:hAnsi="黑体" w:eastAsia="黑体"/>
              <w:sz w:val="24"/>
              <w:szCs w:val="24"/>
            </w:rPr>
          </w:pPr>
          <w:r>
            <w:fldChar w:fldCharType="begin"/>
          </w:r>
          <w:r>
            <w:instrText xml:space="preserve"> HYPERLINK \l "_Toc177049526" </w:instrText>
          </w:r>
          <w:r>
            <w:fldChar w:fldCharType="separate"/>
          </w:r>
          <w:r>
            <w:rPr>
              <w:rStyle w:val="14"/>
              <w:rFonts w:ascii="黑体" w:hAnsi="黑体" w:eastAsia="黑体"/>
              <w:sz w:val="24"/>
              <w:szCs w:val="24"/>
            </w:rPr>
            <w:t>1</w:t>
          </w:r>
          <w:r>
            <w:rPr>
              <w:rStyle w:val="14"/>
              <w:rFonts w:hint="eastAsia" w:ascii="黑体" w:hAnsi="黑体" w:eastAsia="黑体"/>
              <w:sz w:val="24"/>
              <w:szCs w:val="24"/>
            </w:rPr>
            <w:t>、项目范围与耕地和永久基本农田的关系</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_Toc177049526 \h </w:instrText>
          </w:r>
          <w:r>
            <w:rPr>
              <w:rFonts w:ascii="黑体" w:hAnsi="黑体" w:eastAsia="黑体"/>
              <w:sz w:val="24"/>
              <w:szCs w:val="24"/>
            </w:rPr>
            <w:fldChar w:fldCharType="separate"/>
          </w:r>
          <w:r>
            <w:rPr>
              <w:rFonts w:ascii="黑体" w:hAnsi="黑体" w:eastAsia="黑体"/>
              <w:sz w:val="24"/>
              <w:szCs w:val="24"/>
            </w:rPr>
            <w:t>3</w:t>
          </w:r>
          <w:r>
            <w:rPr>
              <w:rFonts w:ascii="黑体" w:hAnsi="黑体" w:eastAsia="黑体"/>
              <w:sz w:val="24"/>
              <w:szCs w:val="24"/>
            </w:rPr>
            <w:fldChar w:fldCharType="end"/>
          </w:r>
          <w:r>
            <w:rPr>
              <w:rFonts w:ascii="黑体" w:hAnsi="黑体" w:eastAsia="黑体"/>
              <w:sz w:val="24"/>
              <w:szCs w:val="24"/>
            </w:rPr>
            <w:fldChar w:fldCharType="end"/>
          </w:r>
        </w:p>
        <w:p w14:paraId="1577AD32">
          <w:pPr>
            <w:pStyle w:val="10"/>
            <w:tabs>
              <w:tab w:val="right" w:leader="dot" w:pos="8296"/>
            </w:tabs>
            <w:spacing w:line="360" w:lineRule="auto"/>
            <w:rPr>
              <w:rFonts w:ascii="黑体" w:hAnsi="黑体" w:eastAsia="黑体"/>
              <w:sz w:val="24"/>
              <w:szCs w:val="24"/>
            </w:rPr>
          </w:pPr>
          <w:r>
            <w:fldChar w:fldCharType="begin"/>
          </w:r>
          <w:r>
            <w:instrText xml:space="preserve"> HYPERLINK \l "_Toc177049527" </w:instrText>
          </w:r>
          <w:r>
            <w:fldChar w:fldCharType="separate"/>
          </w:r>
          <w:r>
            <w:rPr>
              <w:rStyle w:val="14"/>
              <w:rFonts w:ascii="黑体" w:hAnsi="黑体" w:eastAsia="黑体"/>
              <w:sz w:val="24"/>
              <w:szCs w:val="24"/>
            </w:rPr>
            <w:t>2</w:t>
          </w:r>
          <w:r>
            <w:rPr>
              <w:rStyle w:val="14"/>
              <w:rFonts w:hint="eastAsia" w:ascii="黑体" w:hAnsi="黑体" w:eastAsia="黑体"/>
              <w:sz w:val="24"/>
              <w:szCs w:val="24"/>
            </w:rPr>
            <w:t>、项目范围与生态保护红线的关系</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_Toc177049527 \h </w:instrText>
          </w:r>
          <w:r>
            <w:rPr>
              <w:rFonts w:ascii="黑体" w:hAnsi="黑体" w:eastAsia="黑体"/>
              <w:sz w:val="24"/>
              <w:szCs w:val="24"/>
            </w:rPr>
            <w:fldChar w:fldCharType="separate"/>
          </w:r>
          <w:r>
            <w:rPr>
              <w:rFonts w:ascii="黑体" w:hAnsi="黑体" w:eastAsia="黑体"/>
              <w:sz w:val="24"/>
              <w:szCs w:val="24"/>
            </w:rPr>
            <w:t>3</w:t>
          </w:r>
          <w:r>
            <w:rPr>
              <w:rFonts w:ascii="黑体" w:hAnsi="黑体" w:eastAsia="黑体"/>
              <w:sz w:val="24"/>
              <w:szCs w:val="24"/>
            </w:rPr>
            <w:fldChar w:fldCharType="end"/>
          </w:r>
          <w:r>
            <w:rPr>
              <w:rFonts w:ascii="黑体" w:hAnsi="黑体" w:eastAsia="黑体"/>
              <w:sz w:val="24"/>
              <w:szCs w:val="24"/>
            </w:rPr>
            <w:fldChar w:fldCharType="end"/>
          </w:r>
        </w:p>
        <w:p w14:paraId="2B3C10C9">
          <w:pPr>
            <w:pStyle w:val="10"/>
            <w:tabs>
              <w:tab w:val="right" w:leader="dot" w:pos="8296"/>
            </w:tabs>
            <w:spacing w:line="360" w:lineRule="auto"/>
            <w:rPr>
              <w:rFonts w:ascii="黑体" w:hAnsi="黑体" w:eastAsia="黑体"/>
              <w:sz w:val="24"/>
              <w:szCs w:val="24"/>
            </w:rPr>
          </w:pPr>
          <w:r>
            <w:fldChar w:fldCharType="begin"/>
          </w:r>
          <w:r>
            <w:instrText xml:space="preserve"> HYPERLINK \l "_Toc177049528" </w:instrText>
          </w:r>
          <w:r>
            <w:fldChar w:fldCharType="separate"/>
          </w:r>
          <w:r>
            <w:rPr>
              <w:rStyle w:val="14"/>
              <w:rFonts w:ascii="黑体" w:hAnsi="黑体" w:eastAsia="黑体"/>
              <w:sz w:val="24"/>
              <w:szCs w:val="24"/>
            </w:rPr>
            <w:t>3</w:t>
          </w:r>
          <w:r>
            <w:rPr>
              <w:rStyle w:val="14"/>
              <w:rFonts w:hint="eastAsia" w:ascii="黑体" w:hAnsi="黑体" w:eastAsia="黑体"/>
              <w:sz w:val="24"/>
              <w:szCs w:val="24"/>
            </w:rPr>
            <w:t>、项目范围与城镇开发边界的关系</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_Toc177049528 \h </w:instrText>
          </w:r>
          <w:r>
            <w:rPr>
              <w:rFonts w:ascii="黑体" w:hAnsi="黑体" w:eastAsia="黑体"/>
              <w:sz w:val="24"/>
              <w:szCs w:val="24"/>
            </w:rPr>
            <w:fldChar w:fldCharType="separate"/>
          </w:r>
          <w:r>
            <w:rPr>
              <w:rFonts w:ascii="黑体" w:hAnsi="黑体" w:eastAsia="黑体"/>
              <w:sz w:val="24"/>
              <w:szCs w:val="24"/>
            </w:rPr>
            <w:t>3</w:t>
          </w:r>
          <w:r>
            <w:rPr>
              <w:rFonts w:ascii="黑体" w:hAnsi="黑体" w:eastAsia="黑体"/>
              <w:sz w:val="24"/>
              <w:szCs w:val="24"/>
            </w:rPr>
            <w:fldChar w:fldCharType="end"/>
          </w:r>
          <w:r>
            <w:rPr>
              <w:rFonts w:ascii="黑体" w:hAnsi="黑体" w:eastAsia="黑体"/>
              <w:sz w:val="24"/>
              <w:szCs w:val="24"/>
            </w:rPr>
            <w:fldChar w:fldCharType="end"/>
          </w:r>
        </w:p>
        <w:p w14:paraId="3A5CBCA5">
          <w:pPr>
            <w:pStyle w:val="10"/>
            <w:tabs>
              <w:tab w:val="right" w:leader="dot" w:pos="8296"/>
            </w:tabs>
            <w:spacing w:line="360" w:lineRule="auto"/>
            <w:rPr>
              <w:rFonts w:ascii="黑体" w:hAnsi="黑体" w:eastAsia="黑体"/>
              <w:sz w:val="24"/>
              <w:szCs w:val="24"/>
            </w:rPr>
          </w:pPr>
          <w:r>
            <w:fldChar w:fldCharType="begin"/>
          </w:r>
          <w:r>
            <w:instrText xml:space="preserve"> HYPERLINK \l "_Toc177049529" </w:instrText>
          </w:r>
          <w:r>
            <w:fldChar w:fldCharType="separate"/>
          </w:r>
          <w:r>
            <w:rPr>
              <w:rStyle w:val="14"/>
              <w:rFonts w:ascii="黑体" w:hAnsi="黑体" w:eastAsia="黑体"/>
              <w:sz w:val="24"/>
              <w:szCs w:val="24"/>
            </w:rPr>
            <w:t>4</w:t>
          </w:r>
          <w:r>
            <w:rPr>
              <w:rStyle w:val="14"/>
              <w:rFonts w:hint="eastAsia" w:ascii="黑体" w:hAnsi="黑体" w:eastAsia="黑体"/>
              <w:sz w:val="24"/>
              <w:szCs w:val="24"/>
            </w:rPr>
            <w:t>、项目范围与历史文化保护线的关系</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_Toc177049529 \h </w:instrText>
          </w:r>
          <w:r>
            <w:rPr>
              <w:rFonts w:ascii="黑体" w:hAnsi="黑体" w:eastAsia="黑体"/>
              <w:sz w:val="24"/>
              <w:szCs w:val="24"/>
            </w:rPr>
            <w:fldChar w:fldCharType="separate"/>
          </w:r>
          <w:r>
            <w:rPr>
              <w:rFonts w:ascii="黑体" w:hAnsi="黑体" w:eastAsia="黑体"/>
              <w:sz w:val="24"/>
              <w:szCs w:val="24"/>
            </w:rPr>
            <w:t>3</w:t>
          </w:r>
          <w:r>
            <w:rPr>
              <w:rFonts w:ascii="黑体" w:hAnsi="黑体" w:eastAsia="黑体"/>
              <w:sz w:val="24"/>
              <w:szCs w:val="24"/>
            </w:rPr>
            <w:fldChar w:fldCharType="end"/>
          </w:r>
          <w:r>
            <w:rPr>
              <w:rFonts w:ascii="黑体" w:hAnsi="黑体" w:eastAsia="黑体"/>
              <w:sz w:val="24"/>
              <w:szCs w:val="24"/>
            </w:rPr>
            <w:fldChar w:fldCharType="end"/>
          </w:r>
        </w:p>
        <w:p w14:paraId="12BDE6AD">
          <w:pPr>
            <w:pStyle w:val="10"/>
            <w:tabs>
              <w:tab w:val="right" w:leader="dot" w:pos="8296"/>
            </w:tabs>
            <w:spacing w:line="360" w:lineRule="auto"/>
            <w:rPr>
              <w:rFonts w:ascii="黑体" w:hAnsi="黑体" w:eastAsia="黑体"/>
              <w:sz w:val="24"/>
              <w:szCs w:val="24"/>
            </w:rPr>
          </w:pPr>
          <w:r>
            <w:fldChar w:fldCharType="begin"/>
          </w:r>
          <w:r>
            <w:instrText xml:space="preserve"> HYPERLINK \l "_Toc177049530" </w:instrText>
          </w:r>
          <w:r>
            <w:fldChar w:fldCharType="separate"/>
          </w:r>
          <w:r>
            <w:rPr>
              <w:rStyle w:val="14"/>
              <w:rFonts w:ascii="黑体" w:hAnsi="黑体" w:eastAsia="黑体"/>
              <w:sz w:val="24"/>
              <w:szCs w:val="24"/>
            </w:rPr>
            <w:t>5</w:t>
          </w:r>
          <w:r>
            <w:rPr>
              <w:rStyle w:val="14"/>
              <w:rFonts w:hint="eastAsia" w:ascii="黑体" w:hAnsi="黑体" w:eastAsia="黑体"/>
              <w:sz w:val="24"/>
              <w:szCs w:val="24"/>
            </w:rPr>
            <w:t>、项目范围与灾害风险控制线的关系</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_Toc177049530 \h </w:instrText>
          </w:r>
          <w:r>
            <w:rPr>
              <w:rFonts w:ascii="黑体" w:hAnsi="黑体" w:eastAsia="黑体"/>
              <w:sz w:val="24"/>
              <w:szCs w:val="24"/>
            </w:rPr>
            <w:fldChar w:fldCharType="separate"/>
          </w:r>
          <w:r>
            <w:rPr>
              <w:rFonts w:ascii="黑体" w:hAnsi="黑体" w:eastAsia="黑体"/>
              <w:sz w:val="24"/>
              <w:szCs w:val="24"/>
            </w:rPr>
            <w:t>4</w:t>
          </w:r>
          <w:r>
            <w:rPr>
              <w:rFonts w:ascii="黑体" w:hAnsi="黑体" w:eastAsia="黑体"/>
              <w:sz w:val="24"/>
              <w:szCs w:val="24"/>
            </w:rPr>
            <w:fldChar w:fldCharType="end"/>
          </w:r>
          <w:r>
            <w:rPr>
              <w:rFonts w:ascii="黑体" w:hAnsi="黑体" w:eastAsia="黑体"/>
              <w:sz w:val="24"/>
              <w:szCs w:val="24"/>
            </w:rPr>
            <w:fldChar w:fldCharType="end"/>
          </w:r>
        </w:p>
        <w:p w14:paraId="1A47416F">
          <w:pPr>
            <w:pStyle w:val="9"/>
            <w:tabs>
              <w:tab w:val="right" w:leader="dot" w:pos="8296"/>
            </w:tabs>
            <w:spacing w:line="360" w:lineRule="auto"/>
            <w:rPr>
              <w:rFonts w:ascii="黑体" w:hAnsi="黑体" w:eastAsia="黑体"/>
              <w:sz w:val="24"/>
              <w:szCs w:val="24"/>
            </w:rPr>
          </w:pPr>
          <w:r>
            <w:fldChar w:fldCharType="begin"/>
          </w:r>
          <w:r>
            <w:instrText xml:space="preserve"> HYPERLINK \l "_Toc177049531" </w:instrText>
          </w:r>
          <w:r>
            <w:fldChar w:fldCharType="separate"/>
          </w:r>
          <w:r>
            <w:rPr>
              <w:rStyle w:val="14"/>
              <w:rFonts w:hint="eastAsia" w:ascii="黑体" w:hAnsi="黑体" w:eastAsia="黑体"/>
              <w:sz w:val="24"/>
              <w:szCs w:val="24"/>
            </w:rPr>
            <w:t>第四章</w:t>
          </w:r>
          <w:r>
            <w:rPr>
              <w:rStyle w:val="14"/>
              <w:rFonts w:ascii="黑体" w:hAnsi="黑体" w:eastAsia="黑体"/>
              <w:sz w:val="24"/>
              <w:szCs w:val="24"/>
            </w:rPr>
            <w:t xml:space="preserve"> </w:t>
          </w:r>
          <w:r>
            <w:rPr>
              <w:rStyle w:val="14"/>
              <w:rFonts w:hint="eastAsia" w:ascii="黑体" w:hAnsi="黑体" w:eastAsia="黑体"/>
              <w:sz w:val="24"/>
              <w:szCs w:val="24"/>
            </w:rPr>
            <w:t>项目用地布局与主要规划指标情况</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_Toc177049531 \h </w:instrText>
          </w:r>
          <w:r>
            <w:rPr>
              <w:rFonts w:ascii="黑体" w:hAnsi="黑体" w:eastAsia="黑体"/>
              <w:sz w:val="24"/>
              <w:szCs w:val="24"/>
            </w:rPr>
            <w:fldChar w:fldCharType="separate"/>
          </w:r>
          <w:r>
            <w:rPr>
              <w:rFonts w:ascii="黑体" w:hAnsi="黑体" w:eastAsia="黑体"/>
              <w:sz w:val="24"/>
              <w:szCs w:val="24"/>
            </w:rPr>
            <w:t>4</w:t>
          </w:r>
          <w:r>
            <w:rPr>
              <w:rFonts w:ascii="黑体" w:hAnsi="黑体" w:eastAsia="黑体"/>
              <w:sz w:val="24"/>
              <w:szCs w:val="24"/>
            </w:rPr>
            <w:fldChar w:fldCharType="end"/>
          </w:r>
          <w:r>
            <w:rPr>
              <w:rFonts w:ascii="黑体" w:hAnsi="黑体" w:eastAsia="黑体"/>
              <w:sz w:val="24"/>
              <w:szCs w:val="24"/>
            </w:rPr>
            <w:fldChar w:fldCharType="end"/>
          </w:r>
        </w:p>
        <w:p w14:paraId="3AA5F6D9">
          <w:pPr>
            <w:pStyle w:val="10"/>
            <w:tabs>
              <w:tab w:val="right" w:leader="dot" w:pos="8296"/>
            </w:tabs>
            <w:spacing w:line="360" w:lineRule="auto"/>
            <w:rPr>
              <w:rFonts w:ascii="黑体" w:hAnsi="黑体" w:eastAsia="黑体"/>
              <w:sz w:val="24"/>
              <w:szCs w:val="24"/>
            </w:rPr>
          </w:pPr>
          <w:r>
            <w:fldChar w:fldCharType="begin"/>
          </w:r>
          <w:r>
            <w:instrText xml:space="preserve"> HYPERLINK \l "_Toc177049532" </w:instrText>
          </w:r>
          <w:r>
            <w:fldChar w:fldCharType="separate"/>
          </w:r>
          <w:r>
            <w:rPr>
              <w:rStyle w:val="14"/>
              <w:rFonts w:ascii="黑体" w:hAnsi="黑体" w:eastAsia="黑体"/>
              <w:sz w:val="24"/>
              <w:szCs w:val="24"/>
            </w:rPr>
            <w:t>1</w:t>
          </w:r>
          <w:r>
            <w:rPr>
              <w:rStyle w:val="14"/>
              <w:rFonts w:hint="eastAsia" w:ascii="黑体" w:hAnsi="黑体" w:eastAsia="黑体"/>
              <w:sz w:val="24"/>
              <w:szCs w:val="24"/>
            </w:rPr>
            <w:t>、项目用地布局</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_Toc177049532 \h </w:instrText>
          </w:r>
          <w:r>
            <w:rPr>
              <w:rFonts w:ascii="黑体" w:hAnsi="黑体" w:eastAsia="黑体"/>
              <w:sz w:val="24"/>
              <w:szCs w:val="24"/>
            </w:rPr>
            <w:fldChar w:fldCharType="separate"/>
          </w:r>
          <w:r>
            <w:rPr>
              <w:rFonts w:ascii="黑体" w:hAnsi="黑体" w:eastAsia="黑体"/>
              <w:sz w:val="24"/>
              <w:szCs w:val="24"/>
            </w:rPr>
            <w:t>4</w:t>
          </w:r>
          <w:r>
            <w:rPr>
              <w:rFonts w:ascii="黑体" w:hAnsi="黑体" w:eastAsia="黑体"/>
              <w:sz w:val="24"/>
              <w:szCs w:val="24"/>
            </w:rPr>
            <w:fldChar w:fldCharType="end"/>
          </w:r>
          <w:r>
            <w:rPr>
              <w:rFonts w:ascii="黑体" w:hAnsi="黑体" w:eastAsia="黑体"/>
              <w:sz w:val="24"/>
              <w:szCs w:val="24"/>
            </w:rPr>
            <w:fldChar w:fldCharType="end"/>
          </w:r>
        </w:p>
        <w:p w14:paraId="0BFBAD2A">
          <w:pPr>
            <w:pStyle w:val="10"/>
            <w:tabs>
              <w:tab w:val="right" w:leader="dot" w:pos="8296"/>
            </w:tabs>
            <w:spacing w:line="360" w:lineRule="auto"/>
            <w:rPr>
              <w:rFonts w:ascii="黑体" w:hAnsi="黑体" w:eastAsia="黑体"/>
              <w:sz w:val="24"/>
              <w:szCs w:val="24"/>
            </w:rPr>
          </w:pPr>
          <w:r>
            <w:fldChar w:fldCharType="begin"/>
          </w:r>
          <w:r>
            <w:instrText xml:space="preserve"> HYPERLINK \l "_Toc177049533" </w:instrText>
          </w:r>
          <w:r>
            <w:fldChar w:fldCharType="separate"/>
          </w:r>
          <w:r>
            <w:rPr>
              <w:rStyle w:val="14"/>
              <w:rFonts w:ascii="黑体" w:hAnsi="黑体" w:eastAsia="黑体"/>
              <w:sz w:val="24"/>
              <w:szCs w:val="24"/>
            </w:rPr>
            <w:t>2</w:t>
          </w:r>
          <w:r>
            <w:rPr>
              <w:rStyle w:val="14"/>
              <w:rFonts w:hint="eastAsia" w:ascii="黑体" w:hAnsi="黑体" w:eastAsia="黑体"/>
              <w:sz w:val="24"/>
              <w:szCs w:val="24"/>
            </w:rPr>
            <w:t>、与主要规划指标情况</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_Toc177049533 \h </w:instrText>
          </w:r>
          <w:r>
            <w:rPr>
              <w:rFonts w:ascii="黑体" w:hAnsi="黑体" w:eastAsia="黑体"/>
              <w:sz w:val="24"/>
              <w:szCs w:val="24"/>
            </w:rPr>
            <w:fldChar w:fldCharType="separate"/>
          </w:r>
          <w:r>
            <w:rPr>
              <w:rFonts w:ascii="黑体" w:hAnsi="黑体" w:eastAsia="黑体"/>
              <w:sz w:val="24"/>
              <w:szCs w:val="24"/>
            </w:rPr>
            <w:t>5</w:t>
          </w:r>
          <w:r>
            <w:rPr>
              <w:rFonts w:ascii="黑体" w:hAnsi="黑体" w:eastAsia="黑体"/>
              <w:sz w:val="24"/>
              <w:szCs w:val="24"/>
            </w:rPr>
            <w:fldChar w:fldCharType="end"/>
          </w:r>
          <w:r>
            <w:rPr>
              <w:rFonts w:ascii="黑体" w:hAnsi="黑体" w:eastAsia="黑体"/>
              <w:sz w:val="24"/>
              <w:szCs w:val="24"/>
            </w:rPr>
            <w:fldChar w:fldCharType="end"/>
          </w:r>
        </w:p>
        <w:p w14:paraId="512EDEED">
          <w:pPr>
            <w:pStyle w:val="9"/>
            <w:tabs>
              <w:tab w:val="right" w:leader="dot" w:pos="8296"/>
            </w:tabs>
            <w:spacing w:line="360" w:lineRule="auto"/>
            <w:rPr>
              <w:rFonts w:ascii="黑体" w:hAnsi="黑体" w:eastAsia="黑体"/>
              <w:sz w:val="24"/>
              <w:szCs w:val="24"/>
            </w:rPr>
          </w:pPr>
          <w:r>
            <w:fldChar w:fldCharType="begin"/>
          </w:r>
          <w:r>
            <w:instrText xml:space="preserve"> HYPERLINK \l "_Toc177049534" </w:instrText>
          </w:r>
          <w:r>
            <w:fldChar w:fldCharType="separate"/>
          </w:r>
          <w:r>
            <w:rPr>
              <w:rStyle w:val="14"/>
              <w:rFonts w:hint="eastAsia" w:ascii="黑体" w:hAnsi="黑体" w:eastAsia="黑体"/>
              <w:sz w:val="24"/>
              <w:szCs w:val="24"/>
            </w:rPr>
            <w:t>第五章</w:t>
          </w:r>
          <w:r>
            <w:rPr>
              <w:rStyle w:val="14"/>
              <w:rFonts w:ascii="黑体" w:hAnsi="黑体" w:eastAsia="黑体"/>
              <w:sz w:val="24"/>
              <w:szCs w:val="24"/>
            </w:rPr>
            <w:t xml:space="preserve">  </w:t>
          </w:r>
          <w:r>
            <w:rPr>
              <w:rStyle w:val="14"/>
              <w:rFonts w:hint="eastAsia" w:ascii="黑体" w:hAnsi="黑体" w:eastAsia="黑体"/>
              <w:sz w:val="24"/>
              <w:szCs w:val="24"/>
            </w:rPr>
            <w:t>项目安全与防灾减灾要求</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_Toc177049534 \h </w:instrText>
          </w:r>
          <w:r>
            <w:rPr>
              <w:rFonts w:ascii="黑体" w:hAnsi="黑体" w:eastAsia="黑体"/>
              <w:sz w:val="24"/>
              <w:szCs w:val="24"/>
            </w:rPr>
            <w:fldChar w:fldCharType="separate"/>
          </w:r>
          <w:r>
            <w:rPr>
              <w:rFonts w:ascii="黑体" w:hAnsi="黑体" w:eastAsia="黑体"/>
              <w:sz w:val="24"/>
              <w:szCs w:val="24"/>
            </w:rPr>
            <w:t>6</w:t>
          </w:r>
          <w:r>
            <w:rPr>
              <w:rFonts w:ascii="黑体" w:hAnsi="黑体" w:eastAsia="黑体"/>
              <w:sz w:val="24"/>
              <w:szCs w:val="24"/>
            </w:rPr>
            <w:fldChar w:fldCharType="end"/>
          </w:r>
          <w:r>
            <w:rPr>
              <w:rFonts w:ascii="黑体" w:hAnsi="黑体" w:eastAsia="黑体"/>
              <w:sz w:val="24"/>
              <w:szCs w:val="24"/>
            </w:rPr>
            <w:fldChar w:fldCharType="end"/>
          </w:r>
        </w:p>
        <w:p w14:paraId="0E2B0C8F">
          <w:pPr>
            <w:pStyle w:val="10"/>
            <w:tabs>
              <w:tab w:val="right" w:leader="dot" w:pos="8296"/>
            </w:tabs>
            <w:spacing w:line="360" w:lineRule="auto"/>
            <w:rPr>
              <w:rFonts w:ascii="黑体" w:hAnsi="黑体" w:eastAsia="黑体"/>
              <w:sz w:val="24"/>
              <w:szCs w:val="24"/>
            </w:rPr>
          </w:pPr>
          <w:r>
            <w:fldChar w:fldCharType="begin"/>
          </w:r>
          <w:r>
            <w:instrText xml:space="preserve"> HYPERLINK \l "_Toc177049535" </w:instrText>
          </w:r>
          <w:r>
            <w:fldChar w:fldCharType="separate"/>
          </w:r>
          <w:r>
            <w:rPr>
              <w:rStyle w:val="14"/>
              <w:rFonts w:ascii="黑体" w:hAnsi="黑体" w:eastAsia="黑体"/>
              <w:sz w:val="24"/>
              <w:szCs w:val="24"/>
            </w:rPr>
            <w:t>1</w:t>
          </w:r>
          <w:r>
            <w:rPr>
              <w:rStyle w:val="14"/>
              <w:rFonts w:hint="eastAsia" w:ascii="黑体" w:hAnsi="黑体" w:eastAsia="黑体"/>
              <w:sz w:val="24"/>
              <w:szCs w:val="24"/>
            </w:rPr>
            <w:t>、防震抗震</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_Toc177049535 \h </w:instrText>
          </w:r>
          <w:r>
            <w:rPr>
              <w:rFonts w:ascii="黑体" w:hAnsi="黑体" w:eastAsia="黑体"/>
              <w:sz w:val="24"/>
              <w:szCs w:val="24"/>
            </w:rPr>
            <w:fldChar w:fldCharType="separate"/>
          </w:r>
          <w:r>
            <w:rPr>
              <w:rFonts w:ascii="黑体" w:hAnsi="黑体" w:eastAsia="黑体"/>
              <w:sz w:val="24"/>
              <w:szCs w:val="24"/>
            </w:rPr>
            <w:t>6</w:t>
          </w:r>
          <w:r>
            <w:rPr>
              <w:rFonts w:ascii="黑体" w:hAnsi="黑体" w:eastAsia="黑体"/>
              <w:sz w:val="24"/>
              <w:szCs w:val="24"/>
            </w:rPr>
            <w:fldChar w:fldCharType="end"/>
          </w:r>
          <w:r>
            <w:rPr>
              <w:rFonts w:ascii="黑体" w:hAnsi="黑体" w:eastAsia="黑体"/>
              <w:sz w:val="24"/>
              <w:szCs w:val="24"/>
            </w:rPr>
            <w:fldChar w:fldCharType="end"/>
          </w:r>
        </w:p>
        <w:p w14:paraId="248D70FD">
          <w:pPr>
            <w:pStyle w:val="10"/>
            <w:tabs>
              <w:tab w:val="right" w:leader="dot" w:pos="8296"/>
            </w:tabs>
            <w:spacing w:line="360" w:lineRule="auto"/>
            <w:rPr>
              <w:rFonts w:ascii="黑体" w:hAnsi="黑体" w:eastAsia="黑体"/>
              <w:sz w:val="24"/>
              <w:szCs w:val="24"/>
            </w:rPr>
          </w:pPr>
          <w:r>
            <w:fldChar w:fldCharType="begin"/>
          </w:r>
          <w:r>
            <w:instrText xml:space="preserve"> HYPERLINK \l "_Toc177049536" </w:instrText>
          </w:r>
          <w:r>
            <w:fldChar w:fldCharType="separate"/>
          </w:r>
          <w:r>
            <w:rPr>
              <w:rStyle w:val="14"/>
              <w:rFonts w:ascii="黑体" w:hAnsi="黑体" w:eastAsia="黑体"/>
              <w:sz w:val="24"/>
              <w:szCs w:val="24"/>
            </w:rPr>
            <w:t>2</w:t>
          </w:r>
          <w:r>
            <w:rPr>
              <w:rStyle w:val="14"/>
              <w:rFonts w:hint="eastAsia" w:ascii="黑体" w:hAnsi="黑体" w:eastAsia="黑体"/>
              <w:sz w:val="24"/>
              <w:szCs w:val="24"/>
            </w:rPr>
            <w:t>、放气象灾害</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_Toc177049536 \h </w:instrText>
          </w:r>
          <w:r>
            <w:rPr>
              <w:rFonts w:ascii="黑体" w:hAnsi="黑体" w:eastAsia="黑体"/>
              <w:sz w:val="24"/>
              <w:szCs w:val="24"/>
            </w:rPr>
            <w:fldChar w:fldCharType="separate"/>
          </w:r>
          <w:r>
            <w:rPr>
              <w:rFonts w:ascii="黑体" w:hAnsi="黑体" w:eastAsia="黑体"/>
              <w:sz w:val="24"/>
              <w:szCs w:val="24"/>
            </w:rPr>
            <w:t>7</w:t>
          </w:r>
          <w:r>
            <w:rPr>
              <w:rFonts w:ascii="黑体" w:hAnsi="黑体" w:eastAsia="黑体"/>
              <w:sz w:val="24"/>
              <w:szCs w:val="24"/>
            </w:rPr>
            <w:fldChar w:fldCharType="end"/>
          </w:r>
          <w:r>
            <w:rPr>
              <w:rFonts w:ascii="黑体" w:hAnsi="黑体" w:eastAsia="黑体"/>
              <w:sz w:val="24"/>
              <w:szCs w:val="24"/>
            </w:rPr>
            <w:fldChar w:fldCharType="end"/>
          </w:r>
        </w:p>
        <w:p w14:paraId="613465BC">
          <w:pPr>
            <w:pStyle w:val="10"/>
            <w:tabs>
              <w:tab w:val="right" w:leader="dot" w:pos="8296"/>
            </w:tabs>
            <w:spacing w:line="360" w:lineRule="auto"/>
            <w:rPr>
              <w:rFonts w:ascii="黑体" w:hAnsi="黑体" w:eastAsia="黑体"/>
              <w:sz w:val="24"/>
              <w:szCs w:val="24"/>
            </w:rPr>
          </w:pPr>
          <w:r>
            <w:fldChar w:fldCharType="begin"/>
          </w:r>
          <w:r>
            <w:instrText xml:space="preserve"> HYPERLINK \l "_Toc177049537" </w:instrText>
          </w:r>
          <w:r>
            <w:fldChar w:fldCharType="separate"/>
          </w:r>
          <w:r>
            <w:rPr>
              <w:rStyle w:val="14"/>
              <w:rFonts w:ascii="黑体" w:hAnsi="黑体" w:eastAsia="黑体"/>
              <w:sz w:val="24"/>
              <w:szCs w:val="24"/>
            </w:rPr>
            <w:t>3</w:t>
          </w:r>
          <w:r>
            <w:rPr>
              <w:rStyle w:val="14"/>
              <w:rFonts w:hint="eastAsia" w:ascii="黑体" w:hAnsi="黑体" w:eastAsia="黑体"/>
              <w:sz w:val="24"/>
              <w:szCs w:val="24"/>
            </w:rPr>
            <w:t>、防洪</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_Toc177049537 \h </w:instrText>
          </w:r>
          <w:r>
            <w:rPr>
              <w:rFonts w:ascii="黑体" w:hAnsi="黑体" w:eastAsia="黑体"/>
              <w:sz w:val="24"/>
              <w:szCs w:val="24"/>
            </w:rPr>
            <w:fldChar w:fldCharType="separate"/>
          </w:r>
          <w:r>
            <w:rPr>
              <w:rFonts w:ascii="黑体" w:hAnsi="黑体" w:eastAsia="黑体"/>
              <w:sz w:val="24"/>
              <w:szCs w:val="24"/>
            </w:rPr>
            <w:t>7</w:t>
          </w:r>
          <w:r>
            <w:rPr>
              <w:rFonts w:ascii="黑体" w:hAnsi="黑体" w:eastAsia="黑体"/>
              <w:sz w:val="24"/>
              <w:szCs w:val="24"/>
            </w:rPr>
            <w:fldChar w:fldCharType="end"/>
          </w:r>
          <w:r>
            <w:rPr>
              <w:rFonts w:ascii="黑体" w:hAnsi="黑体" w:eastAsia="黑体"/>
              <w:sz w:val="24"/>
              <w:szCs w:val="24"/>
            </w:rPr>
            <w:fldChar w:fldCharType="end"/>
          </w:r>
        </w:p>
        <w:p w14:paraId="322FD69B">
          <w:pPr>
            <w:pStyle w:val="10"/>
            <w:tabs>
              <w:tab w:val="right" w:leader="dot" w:pos="8296"/>
            </w:tabs>
            <w:spacing w:line="360" w:lineRule="auto"/>
            <w:rPr>
              <w:rFonts w:ascii="黑体" w:hAnsi="黑体" w:eastAsia="黑体"/>
              <w:sz w:val="24"/>
              <w:szCs w:val="24"/>
            </w:rPr>
          </w:pPr>
          <w:r>
            <w:fldChar w:fldCharType="begin"/>
          </w:r>
          <w:r>
            <w:instrText xml:space="preserve"> HYPERLINK \l "_Toc177049538" </w:instrText>
          </w:r>
          <w:r>
            <w:fldChar w:fldCharType="separate"/>
          </w:r>
          <w:r>
            <w:rPr>
              <w:rStyle w:val="14"/>
              <w:rFonts w:ascii="黑体" w:hAnsi="黑体" w:eastAsia="黑体"/>
              <w:sz w:val="24"/>
              <w:szCs w:val="24"/>
            </w:rPr>
            <w:t>4</w:t>
          </w:r>
          <w:r>
            <w:rPr>
              <w:rStyle w:val="14"/>
              <w:rFonts w:hint="eastAsia" w:ascii="黑体" w:hAnsi="黑体" w:eastAsia="黑体"/>
              <w:sz w:val="24"/>
              <w:szCs w:val="24"/>
            </w:rPr>
            <w:t>、防地质灾害</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_Toc177049538 \h </w:instrText>
          </w:r>
          <w:r>
            <w:rPr>
              <w:rFonts w:ascii="黑体" w:hAnsi="黑体" w:eastAsia="黑体"/>
              <w:sz w:val="24"/>
              <w:szCs w:val="24"/>
            </w:rPr>
            <w:fldChar w:fldCharType="separate"/>
          </w:r>
          <w:r>
            <w:rPr>
              <w:rFonts w:ascii="黑体" w:hAnsi="黑体" w:eastAsia="黑体"/>
              <w:sz w:val="24"/>
              <w:szCs w:val="24"/>
            </w:rPr>
            <w:t>7</w:t>
          </w:r>
          <w:r>
            <w:rPr>
              <w:rFonts w:ascii="黑体" w:hAnsi="黑体" w:eastAsia="黑体"/>
              <w:sz w:val="24"/>
              <w:szCs w:val="24"/>
            </w:rPr>
            <w:fldChar w:fldCharType="end"/>
          </w:r>
          <w:r>
            <w:rPr>
              <w:rFonts w:ascii="黑体" w:hAnsi="黑体" w:eastAsia="黑体"/>
              <w:sz w:val="24"/>
              <w:szCs w:val="24"/>
            </w:rPr>
            <w:fldChar w:fldCharType="end"/>
          </w:r>
        </w:p>
        <w:p w14:paraId="7048D511">
          <w:pPr>
            <w:pStyle w:val="10"/>
            <w:tabs>
              <w:tab w:val="right" w:leader="dot" w:pos="8296"/>
            </w:tabs>
            <w:spacing w:line="360" w:lineRule="auto"/>
            <w:rPr>
              <w:rFonts w:ascii="黑体" w:hAnsi="黑体" w:eastAsia="黑体"/>
              <w:sz w:val="24"/>
              <w:szCs w:val="24"/>
            </w:rPr>
          </w:pPr>
          <w:r>
            <w:fldChar w:fldCharType="begin"/>
          </w:r>
          <w:r>
            <w:instrText xml:space="preserve"> HYPERLINK \l "_Toc177049539" </w:instrText>
          </w:r>
          <w:r>
            <w:fldChar w:fldCharType="separate"/>
          </w:r>
          <w:r>
            <w:rPr>
              <w:rStyle w:val="14"/>
              <w:rFonts w:ascii="黑体" w:hAnsi="黑体" w:eastAsia="黑体"/>
              <w:sz w:val="24"/>
              <w:szCs w:val="24"/>
            </w:rPr>
            <w:t>5</w:t>
          </w:r>
          <w:r>
            <w:rPr>
              <w:rStyle w:val="14"/>
              <w:rFonts w:hint="eastAsia" w:ascii="黑体" w:hAnsi="黑体" w:eastAsia="黑体"/>
              <w:sz w:val="24"/>
              <w:szCs w:val="24"/>
            </w:rPr>
            <w:t>、消防</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_Toc177049539 \h </w:instrText>
          </w:r>
          <w:r>
            <w:rPr>
              <w:rFonts w:ascii="黑体" w:hAnsi="黑体" w:eastAsia="黑体"/>
              <w:sz w:val="24"/>
              <w:szCs w:val="24"/>
            </w:rPr>
            <w:fldChar w:fldCharType="separate"/>
          </w:r>
          <w:r>
            <w:rPr>
              <w:rFonts w:ascii="黑体" w:hAnsi="黑体" w:eastAsia="黑体"/>
              <w:sz w:val="24"/>
              <w:szCs w:val="24"/>
            </w:rPr>
            <w:t>7</w:t>
          </w:r>
          <w:r>
            <w:rPr>
              <w:rFonts w:ascii="黑体" w:hAnsi="黑体" w:eastAsia="黑体"/>
              <w:sz w:val="24"/>
              <w:szCs w:val="24"/>
            </w:rPr>
            <w:fldChar w:fldCharType="end"/>
          </w:r>
          <w:r>
            <w:rPr>
              <w:rFonts w:ascii="黑体" w:hAnsi="黑体" w:eastAsia="黑体"/>
              <w:sz w:val="24"/>
              <w:szCs w:val="24"/>
            </w:rPr>
            <w:fldChar w:fldCharType="end"/>
          </w:r>
        </w:p>
        <w:p w14:paraId="3522E86F">
          <w:pPr>
            <w:pStyle w:val="10"/>
            <w:tabs>
              <w:tab w:val="right" w:leader="dot" w:pos="8296"/>
            </w:tabs>
            <w:spacing w:line="360" w:lineRule="auto"/>
            <w:rPr>
              <w:rFonts w:ascii="黑体" w:hAnsi="黑体" w:eastAsia="黑体"/>
              <w:sz w:val="24"/>
              <w:szCs w:val="24"/>
            </w:rPr>
          </w:pPr>
          <w:r>
            <w:fldChar w:fldCharType="begin"/>
          </w:r>
          <w:r>
            <w:instrText xml:space="preserve"> HYPERLINK \l "_Toc177049540" </w:instrText>
          </w:r>
          <w:r>
            <w:fldChar w:fldCharType="separate"/>
          </w:r>
          <w:r>
            <w:rPr>
              <w:rStyle w:val="14"/>
              <w:rFonts w:ascii="黑体" w:hAnsi="黑体" w:eastAsia="黑体"/>
              <w:sz w:val="24"/>
              <w:szCs w:val="24"/>
            </w:rPr>
            <w:t>6</w:t>
          </w:r>
          <w:r>
            <w:rPr>
              <w:rStyle w:val="14"/>
              <w:rFonts w:hint="eastAsia" w:ascii="黑体" w:hAnsi="黑体" w:eastAsia="黑体"/>
              <w:sz w:val="24"/>
              <w:szCs w:val="24"/>
            </w:rPr>
            <w:t>、人防</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_Toc177049540 \h </w:instrText>
          </w:r>
          <w:r>
            <w:rPr>
              <w:rFonts w:ascii="黑体" w:hAnsi="黑体" w:eastAsia="黑体"/>
              <w:sz w:val="24"/>
              <w:szCs w:val="24"/>
            </w:rPr>
            <w:fldChar w:fldCharType="separate"/>
          </w:r>
          <w:r>
            <w:rPr>
              <w:rFonts w:ascii="黑体" w:hAnsi="黑体" w:eastAsia="黑体"/>
              <w:sz w:val="24"/>
              <w:szCs w:val="24"/>
            </w:rPr>
            <w:t>8</w:t>
          </w:r>
          <w:r>
            <w:rPr>
              <w:rFonts w:ascii="黑体" w:hAnsi="黑体" w:eastAsia="黑体"/>
              <w:sz w:val="24"/>
              <w:szCs w:val="24"/>
            </w:rPr>
            <w:fldChar w:fldCharType="end"/>
          </w:r>
          <w:r>
            <w:rPr>
              <w:rFonts w:ascii="黑体" w:hAnsi="黑体" w:eastAsia="黑体"/>
              <w:sz w:val="24"/>
              <w:szCs w:val="24"/>
            </w:rPr>
            <w:fldChar w:fldCharType="end"/>
          </w:r>
        </w:p>
        <w:p w14:paraId="173BBC86">
          <w:pPr>
            <w:pStyle w:val="9"/>
            <w:tabs>
              <w:tab w:val="right" w:leader="dot" w:pos="8296"/>
            </w:tabs>
            <w:spacing w:line="360" w:lineRule="auto"/>
            <w:rPr>
              <w:rFonts w:ascii="黑体" w:hAnsi="黑体" w:eastAsia="黑体"/>
              <w:sz w:val="24"/>
              <w:szCs w:val="24"/>
            </w:rPr>
          </w:pPr>
          <w:r>
            <w:fldChar w:fldCharType="begin"/>
          </w:r>
          <w:r>
            <w:instrText xml:space="preserve"> HYPERLINK \l "_Toc177049541" </w:instrText>
          </w:r>
          <w:r>
            <w:fldChar w:fldCharType="separate"/>
          </w:r>
          <w:r>
            <w:rPr>
              <w:rStyle w:val="14"/>
              <w:rFonts w:hint="eastAsia" w:ascii="黑体" w:hAnsi="黑体" w:eastAsia="黑体"/>
              <w:sz w:val="24"/>
              <w:szCs w:val="24"/>
            </w:rPr>
            <w:t>第六章</w:t>
          </w:r>
          <w:r>
            <w:rPr>
              <w:rStyle w:val="14"/>
              <w:rFonts w:ascii="黑体" w:hAnsi="黑体" w:eastAsia="黑体"/>
              <w:sz w:val="24"/>
              <w:szCs w:val="24"/>
            </w:rPr>
            <w:t xml:space="preserve"> </w:t>
          </w:r>
          <w:r>
            <w:rPr>
              <w:rStyle w:val="14"/>
              <w:rFonts w:hint="eastAsia" w:ascii="黑体" w:hAnsi="黑体" w:eastAsia="黑体"/>
              <w:sz w:val="24"/>
              <w:szCs w:val="24"/>
            </w:rPr>
            <w:t>建筑风貌与地块控制指标</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_Toc177049541 \h </w:instrText>
          </w:r>
          <w:r>
            <w:rPr>
              <w:rFonts w:ascii="黑体" w:hAnsi="黑体" w:eastAsia="黑体"/>
              <w:sz w:val="24"/>
              <w:szCs w:val="24"/>
            </w:rPr>
            <w:fldChar w:fldCharType="separate"/>
          </w:r>
          <w:r>
            <w:rPr>
              <w:rFonts w:ascii="黑体" w:hAnsi="黑体" w:eastAsia="黑体"/>
              <w:sz w:val="24"/>
              <w:szCs w:val="24"/>
            </w:rPr>
            <w:t>8</w:t>
          </w:r>
          <w:r>
            <w:rPr>
              <w:rFonts w:ascii="黑体" w:hAnsi="黑体" w:eastAsia="黑体"/>
              <w:sz w:val="24"/>
              <w:szCs w:val="24"/>
            </w:rPr>
            <w:fldChar w:fldCharType="end"/>
          </w:r>
          <w:r>
            <w:rPr>
              <w:rFonts w:ascii="黑体" w:hAnsi="黑体" w:eastAsia="黑体"/>
              <w:sz w:val="24"/>
              <w:szCs w:val="24"/>
            </w:rPr>
            <w:fldChar w:fldCharType="end"/>
          </w:r>
        </w:p>
        <w:p w14:paraId="69BC1E1E">
          <w:pPr>
            <w:pStyle w:val="10"/>
            <w:tabs>
              <w:tab w:val="right" w:leader="dot" w:pos="8296"/>
            </w:tabs>
            <w:spacing w:line="360" w:lineRule="auto"/>
            <w:rPr>
              <w:rFonts w:ascii="黑体" w:hAnsi="黑体" w:eastAsia="黑体"/>
              <w:sz w:val="24"/>
              <w:szCs w:val="24"/>
            </w:rPr>
          </w:pPr>
          <w:r>
            <w:fldChar w:fldCharType="begin"/>
          </w:r>
          <w:r>
            <w:instrText xml:space="preserve"> HYPERLINK \l "_Toc177049542" </w:instrText>
          </w:r>
          <w:r>
            <w:fldChar w:fldCharType="separate"/>
          </w:r>
          <w:r>
            <w:rPr>
              <w:rStyle w:val="14"/>
              <w:rFonts w:ascii="黑体" w:hAnsi="黑体" w:eastAsia="黑体"/>
              <w:sz w:val="24"/>
              <w:szCs w:val="24"/>
            </w:rPr>
            <w:t>1</w:t>
          </w:r>
          <w:r>
            <w:rPr>
              <w:rStyle w:val="14"/>
              <w:rFonts w:hint="eastAsia" w:ascii="黑体" w:hAnsi="黑体" w:eastAsia="黑体"/>
              <w:sz w:val="24"/>
              <w:szCs w:val="24"/>
            </w:rPr>
            <w:t>、建筑风貌</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_Toc177049542 \h </w:instrText>
          </w:r>
          <w:r>
            <w:rPr>
              <w:rFonts w:ascii="黑体" w:hAnsi="黑体" w:eastAsia="黑体"/>
              <w:sz w:val="24"/>
              <w:szCs w:val="24"/>
            </w:rPr>
            <w:fldChar w:fldCharType="separate"/>
          </w:r>
          <w:r>
            <w:rPr>
              <w:rFonts w:ascii="黑体" w:hAnsi="黑体" w:eastAsia="黑体"/>
              <w:sz w:val="24"/>
              <w:szCs w:val="24"/>
            </w:rPr>
            <w:t>8</w:t>
          </w:r>
          <w:r>
            <w:rPr>
              <w:rFonts w:ascii="黑体" w:hAnsi="黑体" w:eastAsia="黑体"/>
              <w:sz w:val="24"/>
              <w:szCs w:val="24"/>
            </w:rPr>
            <w:fldChar w:fldCharType="end"/>
          </w:r>
          <w:r>
            <w:rPr>
              <w:rFonts w:ascii="黑体" w:hAnsi="黑体" w:eastAsia="黑体"/>
              <w:sz w:val="24"/>
              <w:szCs w:val="24"/>
            </w:rPr>
            <w:fldChar w:fldCharType="end"/>
          </w:r>
        </w:p>
        <w:p w14:paraId="70DC6300">
          <w:pPr>
            <w:pStyle w:val="10"/>
            <w:tabs>
              <w:tab w:val="right" w:leader="dot" w:pos="8296"/>
            </w:tabs>
            <w:spacing w:line="360" w:lineRule="auto"/>
            <w:rPr>
              <w:rFonts w:ascii="黑体" w:hAnsi="黑体" w:eastAsia="黑体"/>
              <w:sz w:val="24"/>
              <w:szCs w:val="24"/>
            </w:rPr>
          </w:pPr>
          <w:r>
            <w:fldChar w:fldCharType="begin"/>
          </w:r>
          <w:r>
            <w:instrText xml:space="preserve"> HYPERLINK \l "_Toc177049543" </w:instrText>
          </w:r>
          <w:r>
            <w:fldChar w:fldCharType="separate"/>
          </w:r>
          <w:r>
            <w:rPr>
              <w:rStyle w:val="14"/>
              <w:rFonts w:ascii="黑体" w:hAnsi="黑体" w:eastAsia="黑体"/>
              <w:sz w:val="24"/>
              <w:szCs w:val="24"/>
            </w:rPr>
            <w:t>2</w:t>
          </w:r>
          <w:r>
            <w:rPr>
              <w:rStyle w:val="14"/>
              <w:rFonts w:hint="eastAsia" w:ascii="黑体" w:hAnsi="黑体" w:eastAsia="黑体"/>
              <w:sz w:val="24"/>
              <w:szCs w:val="24"/>
            </w:rPr>
            <w:t>、地块控制指标</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_Toc177049543 \h </w:instrText>
          </w:r>
          <w:r>
            <w:rPr>
              <w:rFonts w:ascii="黑体" w:hAnsi="黑体" w:eastAsia="黑体"/>
              <w:sz w:val="24"/>
              <w:szCs w:val="24"/>
            </w:rPr>
            <w:fldChar w:fldCharType="separate"/>
          </w:r>
          <w:r>
            <w:rPr>
              <w:rFonts w:ascii="黑体" w:hAnsi="黑体" w:eastAsia="黑体"/>
              <w:sz w:val="24"/>
              <w:szCs w:val="24"/>
            </w:rPr>
            <w:t>9</w:t>
          </w:r>
          <w:r>
            <w:rPr>
              <w:rFonts w:ascii="黑体" w:hAnsi="黑体" w:eastAsia="黑体"/>
              <w:sz w:val="24"/>
              <w:szCs w:val="24"/>
            </w:rPr>
            <w:fldChar w:fldCharType="end"/>
          </w:r>
          <w:r>
            <w:rPr>
              <w:rFonts w:ascii="黑体" w:hAnsi="黑体" w:eastAsia="黑体"/>
              <w:sz w:val="24"/>
              <w:szCs w:val="24"/>
            </w:rPr>
            <w:fldChar w:fldCharType="end"/>
          </w:r>
        </w:p>
        <w:p w14:paraId="1364E5AA">
          <w:pPr>
            <w:spacing w:line="360" w:lineRule="auto"/>
            <w:sectPr>
              <w:footerReference r:id="rId5" w:type="default"/>
              <w:pgSz w:w="11906" w:h="16838"/>
              <w:pgMar w:top="1440" w:right="1800" w:bottom="1440" w:left="1800" w:header="851" w:footer="992" w:gutter="0"/>
              <w:cols w:space="425" w:num="1"/>
              <w:docGrid w:type="lines" w:linePitch="312" w:charSpace="0"/>
            </w:sectPr>
          </w:pPr>
          <w:r>
            <w:rPr>
              <w:rFonts w:ascii="黑体" w:hAnsi="黑体" w:eastAsia="黑体"/>
              <w:b/>
              <w:bCs/>
              <w:sz w:val="24"/>
              <w:szCs w:val="24"/>
              <w:lang w:val="zh-CN"/>
            </w:rPr>
            <w:fldChar w:fldCharType="end"/>
          </w:r>
        </w:p>
      </w:sdtContent>
    </w:sdt>
    <w:p w14:paraId="4035BF33">
      <w:pPr>
        <w:pStyle w:val="4"/>
        <w:spacing w:line="360" w:lineRule="auto"/>
        <w:jc w:val="center"/>
        <w:rPr>
          <w:rFonts w:eastAsia="黑体"/>
          <w:sz w:val="32"/>
        </w:rPr>
      </w:pPr>
      <w:bookmarkStart w:id="1" w:name="_Toc177049521"/>
      <w:r>
        <w:rPr>
          <w:rFonts w:eastAsia="黑体"/>
          <w:sz w:val="32"/>
        </w:rPr>
        <w:t xml:space="preserve">第一章 </w:t>
      </w:r>
      <w:bookmarkEnd w:id="0"/>
      <w:r>
        <w:rPr>
          <w:rFonts w:hint="eastAsia" w:eastAsia="黑体"/>
          <w:sz w:val="32"/>
        </w:rPr>
        <w:t>项目背景与基本情况</w:t>
      </w:r>
      <w:bookmarkEnd w:id="1"/>
    </w:p>
    <w:p w14:paraId="3815BCA8">
      <w:pPr>
        <w:pStyle w:val="5"/>
        <w:spacing w:before="0" w:after="0" w:line="360" w:lineRule="auto"/>
        <w:rPr>
          <w:rFonts w:ascii="Times New Roman" w:hAnsi="Times New Roman" w:eastAsia="黑体"/>
          <w:sz w:val="30"/>
          <w:szCs w:val="30"/>
        </w:rPr>
      </w:pPr>
      <w:bookmarkStart w:id="2" w:name="_Toc30015"/>
      <w:bookmarkStart w:id="3" w:name="_Toc101186978"/>
      <w:bookmarkStart w:id="4" w:name="_Toc177049522"/>
      <w:r>
        <w:rPr>
          <w:rFonts w:hint="eastAsia" w:ascii="Times New Roman" w:hAnsi="Times New Roman" w:eastAsia="黑体"/>
          <w:sz w:val="30"/>
          <w:szCs w:val="30"/>
        </w:rPr>
        <w:t>1、项目</w:t>
      </w:r>
      <w:r>
        <w:rPr>
          <w:rFonts w:ascii="Times New Roman" w:hAnsi="Times New Roman" w:eastAsia="黑体"/>
          <w:sz w:val="30"/>
          <w:szCs w:val="30"/>
        </w:rPr>
        <w:t>背景</w:t>
      </w:r>
      <w:bookmarkEnd w:id="2"/>
      <w:bookmarkEnd w:id="3"/>
      <w:bookmarkEnd w:id="4"/>
    </w:p>
    <w:p w14:paraId="3B31A4D2">
      <w:pPr>
        <w:spacing w:line="360" w:lineRule="auto"/>
        <w:ind w:firstLine="560" w:firstLineChars="200"/>
        <w:rPr>
          <w:rFonts w:eastAsia="仿宋"/>
          <w:sz w:val="28"/>
          <w:szCs w:val="28"/>
        </w:rPr>
      </w:pPr>
      <w:bookmarkStart w:id="5" w:name="_Toc101186979"/>
      <w:r>
        <w:rPr>
          <w:rFonts w:hint="eastAsia" w:eastAsia="仿宋"/>
          <w:sz w:val="28"/>
          <w:szCs w:val="28"/>
        </w:rPr>
        <w:t>为贯彻落实党的二十大关于全面推进乡村振兴，坚持农业农村优先发展，巩固拓展脱贫攻坚成果，加快建设农业强国，扎实推动乡村产业、人才、文化、生态、组织振兴的战略，扎实推进荣昌区巴渝和美乡村建设，改善农村生产、生活、生态条件，按照“产业兴旺、生态宜居、乡风文明、治理有效、生活富裕”的总方针，依据《自然资源部中央农村工作领导小组办公室关于学习运用“千万工程”经验提高村庄规划编制质量和实效的通知》、《自然资源部办公厅关于进一步做好村庄规划工作的意见》（自然资办发〔2020〕57号）、《重庆市规划和自然资源局关于加强村庄规划编制管理工作的通知》（渝规资〔2024〕40号）等文件要求，重庆市荣昌区盘龙镇人民政府结合实际，分类编制村庄规划，特组织编制了《荣昌区盘龙镇三合村和昌州村村庄规划（2023-2035年）》，三合村和昌州村均属于稳定发展类村，故本次规划成果为项目式村规划，主要为落实盘龙镇三合村渔业加工厂房及设备建设项目和荣昌区盘龙镇农村饮水安全稳固提升工程项目，以保障村内产业发展和公用设施建设。</w:t>
      </w:r>
    </w:p>
    <w:p w14:paraId="3E388BD8">
      <w:pPr>
        <w:pStyle w:val="5"/>
        <w:spacing w:before="0" w:after="0" w:line="360" w:lineRule="auto"/>
        <w:rPr>
          <w:rFonts w:ascii="Times New Roman" w:hAnsi="Times New Roman" w:eastAsia="黑体"/>
          <w:sz w:val="30"/>
          <w:szCs w:val="30"/>
        </w:rPr>
      </w:pPr>
      <w:bookmarkStart w:id="6" w:name="_Toc15868"/>
      <w:bookmarkStart w:id="7" w:name="_Toc177049523"/>
      <w:r>
        <w:rPr>
          <w:rFonts w:hint="eastAsia" w:ascii="Times New Roman" w:hAnsi="Times New Roman" w:eastAsia="黑体"/>
          <w:sz w:val="30"/>
          <w:szCs w:val="30"/>
        </w:rPr>
        <w:t>2、</w:t>
      </w:r>
      <w:bookmarkEnd w:id="5"/>
      <w:bookmarkEnd w:id="6"/>
      <w:r>
        <w:rPr>
          <w:rFonts w:hint="eastAsia" w:ascii="Times New Roman" w:hAnsi="Times New Roman" w:eastAsia="黑体"/>
          <w:sz w:val="30"/>
          <w:szCs w:val="30"/>
        </w:rPr>
        <w:t>基本情况</w:t>
      </w:r>
      <w:bookmarkEnd w:id="7"/>
    </w:p>
    <w:p w14:paraId="1893134D">
      <w:pPr>
        <w:pStyle w:val="15"/>
        <w:spacing w:line="360" w:lineRule="auto"/>
        <w:ind w:firstLine="560" w:firstLineChars="200"/>
        <w:rPr>
          <w:rFonts w:eastAsia="仿宋"/>
          <w:color w:val="auto"/>
          <w:sz w:val="28"/>
          <w:szCs w:val="28"/>
        </w:rPr>
      </w:pPr>
      <w:r>
        <w:rPr>
          <w:rFonts w:hint="eastAsia" w:eastAsia="仿宋"/>
          <w:color w:val="auto"/>
          <w:sz w:val="28"/>
          <w:szCs w:val="28"/>
        </w:rPr>
        <w:t>盘龙镇三合村渔业加工厂房及设备建设项目位于盘龙镇三合村8社，用地面积0.31公顷，不涉及永久基本农田（核实处置后）、生态保护红线、自然保护地。项目已取得《重庆市企业投资项目备案证》（项目代码2407-500153-04-05-385566），同时本项目已纳入重庆市荣昌区农业农村委一二三产业发展项目库。</w:t>
      </w:r>
    </w:p>
    <w:p w14:paraId="5407EC66">
      <w:pPr>
        <w:pStyle w:val="15"/>
        <w:spacing w:line="360" w:lineRule="auto"/>
        <w:ind w:firstLine="560" w:firstLineChars="200"/>
        <w:rPr>
          <w:rFonts w:eastAsia="仿宋"/>
          <w:color w:val="auto"/>
          <w:sz w:val="28"/>
          <w:szCs w:val="28"/>
        </w:rPr>
      </w:pPr>
      <w:r>
        <w:rPr>
          <w:rFonts w:hint="eastAsia" w:eastAsia="仿宋"/>
          <w:sz w:val="28"/>
          <w:szCs w:val="28"/>
        </w:rPr>
        <w:t>重庆市</w:t>
      </w:r>
      <w:r>
        <w:rPr>
          <w:rFonts w:hint="eastAsia" w:eastAsia="仿宋"/>
          <w:color w:val="auto"/>
          <w:sz w:val="28"/>
          <w:szCs w:val="28"/>
        </w:rPr>
        <w:t>荣昌区盘龙镇农村饮水安全稳固提升工程项目位于盘龙镇三合村8社、昌州村3社，用地面积0.</w:t>
      </w:r>
      <w:r>
        <w:rPr>
          <w:rFonts w:hint="eastAsia" w:eastAsia="仿宋"/>
          <w:color w:val="auto"/>
          <w:sz w:val="28"/>
          <w:szCs w:val="28"/>
          <w:lang w:val="en-US" w:eastAsia="zh-CN"/>
        </w:rPr>
        <w:t>73</w:t>
      </w:r>
      <w:r>
        <w:rPr>
          <w:rFonts w:hint="eastAsia" w:eastAsia="仿宋"/>
          <w:color w:val="auto"/>
          <w:sz w:val="28"/>
          <w:szCs w:val="28"/>
        </w:rPr>
        <w:t xml:space="preserve">公顷，不涉及永久基本农田（核实处置后）、生态保护红线、自然保护地。项目已取得《重庆市荣昌区发展和改革委员会关于重庆市荣昌区盘龙镇农村饮水安全巩固提升工程立项的批复》（荣发改审〔2020〕612号）。                                                                                                                                                                 </w:t>
      </w:r>
    </w:p>
    <w:p w14:paraId="17C7591E">
      <w:pPr>
        <w:pStyle w:val="4"/>
        <w:spacing w:line="360" w:lineRule="auto"/>
        <w:jc w:val="center"/>
        <w:rPr>
          <w:rFonts w:eastAsia="黑体"/>
          <w:sz w:val="32"/>
        </w:rPr>
      </w:pPr>
      <w:bookmarkStart w:id="8" w:name="_Toc177049524"/>
      <w:r>
        <w:rPr>
          <w:rFonts w:hint="eastAsia" w:eastAsia="黑体"/>
          <w:sz w:val="32"/>
        </w:rPr>
        <w:t>第二章  项目选址论证情况</w:t>
      </w:r>
      <w:bookmarkEnd w:id="8"/>
    </w:p>
    <w:p w14:paraId="4640BACE">
      <w:pPr>
        <w:ind w:firstLine="560" w:firstLineChars="200"/>
        <w:jc w:val="left"/>
        <w:rPr>
          <w:rFonts w:ascii="Times New Roman" w:hAnsi="Times New Roman" w:eastAsia="仿宋" w:cs="Times New Roman"/>
          <w:kern w:val="0"/>
          <w:sz w:val="28"/>
          <w:szCs w:val="28"/>
        </w:rPr>
      </w:pPr>
      <w:r>
        <w:rPr>
          <w:rFonts w:hint="eastAsia" w:eastAsia="仿宋"/>
          <w:sz w:val="28"/>
          <w:szCs w:val="28"/>
        </w:rPr>
        <w:t>盘龙镇三合村渔业加工厂房及设备建设项目选址位于盘龙镇三合村8社，为渔业养殖、冷库、初加工一体的农副产品初加工工厂，主要以业主原自建宅基地作为基础进行改扩建，本项目年产量未超20000斤，加工污染较小，不会对周边环境造成较大的污染。</w:t>
      </w:r>
      <w:r>
        <w:rPr>
          <w:rFonts w:hint="eastAsia" w:ascii="Times New Roman" w:hAnsi="Times New Roman" w:eastAsia="仿宋" w:cs="Times New Roman"/>
          <w:kern w:val="0"/>
          <w:sz w:val="28"/>
          <w:szCs w:val="28"/>
        </w:rPr>
        <w:t>项目位于农村道路旁，交通便利。本项目年总产值180万元，带动周边50余民农户就业，为三合村集体经济创收，促进村集体经济发展。</w:t>
      </w:r>
    </w:p>
    <w:p w14:paraId="2692EEF6">
      <w:pPr>
        <w:ind w:firstLine="560" w:firstLineChars="200"/>
        <w:jc w:val="left"/>
        <w:rPr>
          <w:rFonts w:eastAsia="仿宋"/>
          <w:sz w:val="28"/>
          <w:szCs w:val="28"/>
        </w:rPr>
      </w:pPr>
      <w:r>
        <w:rPr>
          <w:rFonts w:hint="eastAsia" w:ascii="Times New Roman" w:hAnsi="Times New Roman" w:eastAsia="仿宋" w:cs="Times New Roman"/>
          <w:kern w:val="0"/>
          <w:sz w:val="28"/>
          <w:szCs w:val="28"/>
        </w:rPr>
        <w:t>重庆市</w:t>
      </w:r>
      <w:r>
        <w:rPr>
          <w:rFonts w:hint="eastAsia" w:eastAsia="仿宋"/>
          <w:sz w:val="28"/>
          <w:szCs w:val="28"/>
        </w:rPr>
        <w:t>荣昌区盘龙镇农村饮水安全稳固提升工程项目选址位于盘龙镇三合村8社和昌州村3社，该处原为废弃砖厂，且离水源地（吊楼子水库）较近，为盘活存量用地，故选址于此，该项目一期于2010年建成，水厂规模2000m</w:t>
      </w:r>
      <w:r>
        <w:rPr>
          <w:rFonts w:hint="eastAsia" w:eastAsia="仿宋"/>
          <w:sz w:val="28"/>
          <w:szCs w:val="28"/>
          <w:vertAlign w:val="superscript"/>
        </w:rPr>
        <w:t>3</w:t>
      </w:r>
      <w:r>
        <w:rPr>
          <w:rFonts w:hint="eastAsia" w:eastAsia="仿宋"/>
          <w:sz w:val="28"/>
          <w:szCs w:val="28"/>
        </w:rPr>
        <w:t>/d，由于用水需求量日益增长，现有水厂已不能满足要求，故于2021年将原水厂进行扩建，扩建后水厂规模达到7000 m</w:t>
      </w:r>
      <w:r>
        <w:rPr>
          <w:rFonts w:hint="eastAsia" w:eastAsia="仿宋"/>
          <w:sz w:val="28"/>
          <w:szCs w:val="28"/>
          <w:vertAlign w:val="superscript"/>
        </w:rPr>
        <w:t>3</w:t>
      </w:r>
      <w:r>
        <w:rPr>
          <w:rFonts w:hint="eastAsia" w:eastAsia="仿宋"/>
          <w:sz w:val="28"/>
          <w:szCs w:val="28"/>
        </w:rPr>
        <w:t>/d，能满足盘龙镇全镇的用水需求。</w:t>
      </w:r>
    </w:p>
    <w:p w14:paraId="4CE525DD">
      <w:pPr>
        <w:pStyle w:val="4"/>
        <w:spacing w:line="360" w:lineRule="auto"/>
        <w:jc w:val="center"/>
        <w:rPr>
          <w:rFonts w:eastAsia="黑体"/>
          <w:sz w:val="32"/>
        </w:rPr>
      </w:pPr>
      <w:bookmarkStart w:id="9" w:name="_Toc177049525"/>
      <w:r>
        <w:rPr>
          <w:rFonts w:hint="eastAsia" w:eastAsia="黑体"/>
          <w:sz w:val="32"/>
        </w:rPr>
        <w:t>第三章  项目范围与重要空间管控线的关系</w:t>
      </w:r>
      <w:bookmarkEnd w:id="9"/>
    </w:p>
    <w:p w14:paraId="7653C466">
      <w:pPr>
        <w:pStyle w:val="5"/>
        <w:rPr>
          <w:rFonts w:ascii="黑体" w:hAnsi="黑体" w:eastAsia="黑体"/>
          <w:sz w:val="30"/>
          <w:szCs w:val="30"/>
        </w:rPr>
      </w:pPr>
      <w:bookmarkStart w:id="10" w:name="_Toc177049526"/>
      <w:r>
        <w:rPr>
          <w:rFonts w:hint="eastAsia" w:ascii="黑体" w:hAnsi="黑体" w:eastAsia="黑体"/>
          <w:sz w:val="30"/>
          <w:szCs w:val="30"/>
        </w:rPr>
        <w:t>1、项目范围与耕地和永久基本农田的关系</w:t>
      </w:r>
      <w:bookmarkEnd w:id="10"/>
    </w:p>
    <w:p w14:paraId="39BD0D65">
      <w:pPr>
        <w:ind w:firstLine="560" w:firstLineChars="200"/>
        <w:rPr>
          <w:rFonts w:eastAsia="仿宋" w:cs="Times New Roman"/>
          <w:kern w:val="0"/>
          <w:sz w:val="28"/>
          <w:szCs w:val="28"/>
        </w:rPr>
      </w:pPr>
      <w:r>
        <w:rPr>
          <w:rFonts w:hint="eastAsia" w:ascii="Times New Roman" w:hAnsi="Times New Roman" w:eastAsia="仿宋" w:cs="Times New Roman"/>
          <w:kern w:val="0"/>
          <w:sz w:val="28"/>
          <w:szCs w:val="28"/>
        </w:rPr>
        <w:t>将项目范围线与2023年变更调查数据和永久基本农田数据（核实处置后）叠加，盘龙镇三合村渔业加工厂房及设备建设项目涉及占用耕地0.0848公顷，不涉及永久基本农田；重庆市</w:t>
      </w:r>
      <w:r>
        <w:rPr>
          <w:rFonts w:hint="eastAsia" w:eastAsia="仿宋" w:cs="Times New Roman"/>
          <w:kern w:val="0"/>
          <w:sz w:val="28"/>
          <w:szCs w:val="28"/>
        </w:rPr>
        <w:t>荣昌区盘龙镇农村饮水安全稳固提升工程项目涉及占用耕地0.0</w:t>
      </w:r>
      <w:r>
        <w:rPr>
          <w:rFonts w:hint="eastAsia" w:eastAsia="仿宋" w:cs="Times New Roman"/>
          <w:kern w:val="0"/>
          <w:sz w:val="28"/>
          <w:szCs w:val="28"/>
          <w:lang w:val="en-US" w:eastAsia="zh-CN"/>
        </w:rPr>
        <w:t>380</w:t>
      </w:r>
      <w:r>
        <w:rPr>
          <w:rFonts w:hint="eastAsia" w:eastAsia="仿宋" w:cs="Times New Roman"/>
          <w:kern w:val="0"/>
          <w:sz w:val="28"/>
          <w:szCs w:val="28"/>
        </w:rPr>
        <w:t>公顷，不涉及永久基本农田。</w:t>
      </w:r>
    </w:p>
    <w:p w14:paraId="43999CA8">
      <w:pPr>
        <w:pStyle w:val="5"/>
        <w:rPr>
          <w:rFonts w:ascii="黑体" w:hAnsi="黑体" w:eastAsia="黑体"/>
          <w:sz w:val="30"/>
          <w:szCs w:val="30"/>
        </w:rPr>
      </w:pPr>
      <w:bookmarkStart w:id="11" w:name="_Toc177049527"/>
      <w:r>
        <w:rPr>
          <w:rFonts w:hint="eastAsia" w:ascii="黑体" w:hAnsi="黑体" w:eastAsia="黑体"/>
          <w:sz w:val="30"/>
          <w:szCs w:val="30"/>
        </w:rPr>
        <w:t>2、项目范围与生态保护红线的关系</w:t>
      </w:r>
      <w:bookmarkEnd w:id="11"/>
    </w:p>
    <w:p w14:paraId="4BEF7309">
      <w:pPr>
        <w:ind w:firstLine="560" w:firstLineChars="200"/>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经与</w:t>
      </w:r>
      <w:r>
        <w:rPr>
          <w:rFonts w:ascii="Times New Roman" w:hAnsi="Times New Roman" w:eastAsia="仿宋" w:cs="Times New Roman"/>
          <w:kern w:val="0"/>
          <w:sz w:val="28"/>
          <w:szCs w:val="28"/>
        </w:rPr>
        <w:t>“三区三线”下发的生态保护红线相叠加，</w:t>
      </w:r>
      <w:r>
        <w:rPr>
          <w:rFonts w:hint="eastAsia" w:ascii="Times New Roman" w:hAnsi="Times New Roman" w:eastAsia="仿宋" w:cs="Times New Roman"/>
          <w:kern w:val="0"/>
          <w:sz w:val="28"/>
          <w:szCs w:val="28"/>
        </w:rPr>
        <w:t>盘龙镇三合村渔业加工厂房及设备建设项目和重庆市荣昌区盘龙镇农村饮水安全稳固提升工程项目均不涉及生态保护红线</w:t>
      </w:r>
      <w:r>
        <w:rPr>
          <w:rFonts w:ascii="Times New Roman" w:hAnsi="Times New Roman" w:eastAsia="仿宋" w:cs="Times New Roman"/>
          <w:kern w:val="0"/>
          <w:sz w:val="28"/>
          <w:szCs w:val="28"/>
        </w:rPr>
        <w:t>。</w:t>
      </w:r>
    </w:p>
    <w:p w14:paraId="0582CD5B">
      <w:pPr>
        <w:pStyle w:val="5"/>
        <w:rPr>
          <w:rFonts w:ascii="黑体" w:hAnsi="黑体" w:eastAsia="黑体"/>
          <w:sz w:val="30"/>
          <w:szCs w:val="30"/>
        </w:rPr>
      </w:pPr>
      <w:bookmarkStart w:id="12" w:name="_Toc177049528"/>
      <w:r>
        <w:rPr>
          <w:rFonts w:hint="eastAsia" w:ascii="黑体" w:hAnsi="黑体" w:eastAsia="黑体"/>
          <w:sz w:val="30"/>
          <w:szCs w:val="30"/>
        </w:rPr>
        <w:t>3、项目范围与城镇开发边界的关系</w:t>
      </w:r>
      <w:bookmarkEnd w:id="12"/>
    </w:p>
    <w:p w14:paraId="45154A50">
      <w:pPr>
        <w:ind w:firstLine="560" w:firstLineChars="200"/>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经与“三区三线”下发的城镇开发边界相叠加，盘龙镇三合村渔业加工厂房及设备建设项目和重庆市荣昌区盘龙镇农村饮水安全稳固提升工程项目均不涉及城镇开发边界。</w:t>
      </w:r>
    </w:p>
    <w:p w14:paraId="1502E779">
      <w:pPr>
        <w:pStyle w:val="5"/>
        <w:rPr>
          <w:rFonts w:ascii="黑体" w:hAnsi="黑体" w:eastAsia="黑体"/>
          <w:sz w:val="30"/>
          <w:szCs w:val="30"/>
        </w:rPr>
      </w:pPr>
      <w:bookmarkStart w:id="13" w:name="_Toc177049529"/>
      <w:r>
        <w:rPr>
          <w:rFonts w:hint="eastAsia" w:ascii="黑体" w:hAnsi="黑体" w:eastAsia="黑体"/>
          <w:sz w:val="30"/>
          <w:szCs w:val="30"/>
        </w:rPr>
        <w:t>4、项目范围与历史文化保护线的关系</w:t>
      </w:r>
      <w:bookmarkEnd w:id="13"/>
    </w:p>
    <w:p w14:paraId="34508650">
      <w:pPr>
        <w:ind w:firstLine="560" w:firstLineChars="200"/>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经与历史文化保护线相叠加，盘龙镇三合村渔业加工厂房及设备建设项目和重庆市荣昌区盘龙镇农村饮水安全稳固提升工程项目不在历史文化保护线内，项目范围内无历史文物，如有需按照《重庆市历史文化名城名镇名村保护条例》进行保护和管理。</w:t>
      </w:r>
    </w:p>
    <w:p w14:paraId="3F414E1A">
      <w:pPr>
        <w:pStyle w:val="5"/>
        <w:rPr>
          <w:rFonts w:ascii="黑体" w:hAnsi="黑体" w:eastAsia="黑体"/>
          <w:sz w:val="30"/>
          <w:szCs w:val="30"/>
        </w:rPr>
      </w:pPr>
      <w:bookmarkStart w:id="14" w:name="_Toc177049530"/>
      <w:r>
        <w:rPr>
          <w:rFonts w:hint="eastAsia" w:ascii="黑体" w:hAnsi="黑体" w:eastAsia="黑体"/>
          <w:sz w:val="30"/>
          <w:szCs w:val="30"/>
        </w:rPr>
        <w:t>5、项目范围与灾害风险控制线的关系</w:t>
      </w:r>
      <w:bookmarkEnd w:id="14"/>
    </w:p>
    <w:p w14:paraId="63E3C82B">
      <w:pPr>
        <w:ind w:firstLine="560" w:firstLineChars="200"/>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经与灾害风险控制线相叠加，盘龙镇三合村渔业加工厂房及设备建设项目和重庆市荣昌区盘龙镇农村饮水安全稳固提升工程项目均在地质灾害低易发区。</w:t>
      </w:r>
    </w:p>
    <w:p w14:paraId="3CE2D0FC">
      <w:pPr>
        <w:ind w:firstLine="560" w:firstLineChars="200"/>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同时根据重庆市荣昌区盘龙镇三合村渔业加工厂房及设备设施建设项目建设场地现状地质灾害危险性评估报告评估结论：“1、评估区地质环境条件简单，已建项目属一般建设项目，已建场地地质灾害危险性评估级别为三级。</w:t>
      </w:r>
    </w:p>
    <w:p w14:paraId="647828D0">
      <w:pPr>
        <w:ind w:firstLine="560" w:firstLineChars="200"/>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2、评估区内未发现滑坡、危岩、泥石流、地面塌陷等不良地质现象。</w:t>
      </w:r>
    </w:p>
    <w:p w14:paraId="5F3FD8F9">
      <w:pPr>
        <w:ind w:firstLine="560" w:firstLineChars="200"/>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3、在依据现场的实际调查的基础上，已建工程本身遭受地质灾害的可能性小，危险性小，场地现状整体稳定。”</w:t>
      </w:r>
    </w:p>
    <w:p w14:paraId="3F3A8366">
      <w:pPr>
        <w:ind w:firstLine="560" w:firstLineChars="200"/>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项目地质灾害风险较小。</w:t>
      </w:r>
    </w:p>
    <w:p w14:paraId="6D17CABB">
      <w:pPr>
        <w:pStyle w:val="4"/>
        <w:spacing w:line="360" w:lineRule="auto"/>
        <w:jc w:val="center"/>
        <w:rPr>
          <w:rFonts w:eastAsia="黑体"/>
          <w:sz w:val="32"/>
        </w:rPr>
      </w:pPr>
      <w:bookmarkStart w:id="15" w:name="_Toc177049531"/>
      <w:r>
        <w:rPr>
          <w:rFonts w:hint="eastAsia" w:eastAsia="黑体"/>
          <w:sz w:val="32"/>
        </w:rPr>
        <w:t>第四章 项目用地布局与主要规划指标情况</w:t>
      </w:r>
      <w:bookmarkEnd w:id="15"/>
    </w:p>
    <w:p w14:paraId="59BCF3D3">
      <w:pPr>
        <w:pStyle w:val="5"/>
        <w:rPr>
          <w:rFonts w:ascii="黑体" w:hAnsi="黑体" w:eastAsia="黑体"/>
          <w:sz w:val="30"/>
          <w:szCs w:val="30"/>
        </w:rPr>
      </w:pPr>
      <w:bookmarkStart w:id="16" w:name="_Toc177049532"/>
      <w:r>
        <w:rPr>
          <w:rFonts w:hint="eastAsia" w:ascii="黑体" w:hAnsi="黑体" w:eastAsia="黑体"/>
          <w:sz w:val="30"/>
          <w:szCs w:val="30"/>
        </w:rPr>
        <w:t>1、项目用地布局</w:t>
      </w:r>
      <w:bookmarkEnd w:id="16"/>
    </w:p>
    <w:p w14:paraId="2BD01713">
      <w:pPr>
        <w:ind w:firstLine="560" w:firstLineChars="200"/>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本次规划布置两个项目，盘龙镇三合村渔业加工厂房及设备建设项目，总用地面积0.3121公顷。根据叠加2023年变更调查数据，现状地类为旱地0.0848公顷、竹林地0.0154公顷、农村在基地0.2077公顷、田坎0.0042公顷，本次拟布局为工业用地0.3121公顷；重庆市荣昌区盘龙镇农村饮水安全稳固提升工程项目，总用地面积0.</w:t>
      </w:r>
      <w:r>
        <w:rPr>
          <w:rFonts w:hint="eastAsia" w:ascii="Times New Roman" w:hAnsi="Times New Roman" w:eastAsia="仿宋" w:cs="Times New Roman"/>
          <w:kern w:val="0"/>
          <w:sz w:val="28"/>
          <w:szCs w:val="28"/>
          <w:lang w:val="en-US" w:eastAsia="zh-CN"/>
        </w:rPr>
        <w:t>7271</w:t>
      </w:r>
      <w:r>
        <w:rPr>
          <w:rFonts w:hint="eastAsia" w:ascii="Times New Roman" w:hAnsi="Times New Roman" w:eastAsia="仿宋" w:cs="Times New Roman"/>
          <w:kern w:val="0"/>
          <w:sz w:val="28"/>
          <w:szCs w:val="28"/>
        </w:rPr>
        <w:t>公顷。根据叠加2023年变更调查数据，现状地类为旱地0.0</w:t>
      </w:r>
      <w:r>
        <w:rPr>
          <w:rFonts w:hint="eastAsia" w:ascii="Times New Roman" w:hAnsi="Times New Roman" w:eastAsia="仿宋" w:cs="Times New Roman"/>
          <w:kern w:val="0"/>
          <w:sz w:val="28"/>
          <w:szCs w:val="28"/>
          <w:lang w:val="en-US" w:eastAsia="zh-CN"/>
        </w:rPr>
        <w:t>164</w:t>
      </w:r>
      <w:r>
        <w:rPr>
          <w:rFonts w:hint="eastAsia" w:ascii="Times New Roman" w:hAnsi="Times New Roman" w:eastAsia="仿宋" w:cs="Times New Roman"/>
          <w:kern w:val="0"/>
          <w:sz w:val="28"/>
          <w:szCs w:val="28"/>
        </w:rPr>
        <w:t>公顷、水田0.0</w:t>
      </w:r>
      <w:r>
        <w:rPr>
          <w:rFonts w:hint="eastAsia" w:ascii="Times New Roman" w:hAnsi="Times New Roman" w:eastAsia="仿宋" w:cs="Times New Roman"/>
          <w:kern w:val="0"/>
          <w:sz w:val="28"/>
          <w:szCs w:val="28"/>
          <w:lang w:val="en-US" w:eastAsia="zh-CN"/>
        </w:rPr>
        <w:t>216</w:t>
      </w:r>
      <w:r>
        <w:rPr>
          <w:rFonts w:hint="eastAsia" w:ascii="Times New Roman" w:hAnsi="Times New Roman" w:eastAsia="仿宋" w:cs="Times New Roman"/>
          <w:kern w:val="0"/>
          <w:sz w:val="28"/>
          <w:szCs w:val="28"/>
        </w:rPr>
        <w:t>公顷、竹林地0.00</w:t>
      </w:r>
      <w:r>
        <w:rPr>
          <w:rFonts w:hint="eastAsia" w:ascii="Times New Roman" w:hAnsi="Times New Roman" w:eastAsia="仿宋" w:cs="Times New Roman"/>
          <w:kern w:val="0"/>
          <w:sz w:val="28"/>
          <w:szCs w:val="28"/>
          <w:lang w:val="en-US" w:eastAsia="zh-CN"/>
        </w:rPr>
        <w:t>92</w:t>
      </w:r>
      <w:r>
        <w:rPr>
          <w:rFonts w:hint="eastAsia" w:ascii="Times New Roman" w:hAnsi="Times New Roman" w:eastAsia="仿宋" w:cs="Times New Roman"/>
          <w:kern w:val="0"/>
          <w:sz w:val="28"/>
          <w:szCs w:val="28"/>
        </w:rPr>
        <w:t>公顷、农村宅基地0.0</w:t>
      </w:r>
      <w:r>
        <w:rPr>
          <w:rFonts w:hint="eastAsia" w:ascii="Times New Roman" w:hAnsi="Times New Roman" w:eastAsia="仿宋" w:cs="Times New Roman"/>
          <w:kern w:val="0"/>
          <w:sz w:val="28"/>
          <w:szCs w:val="28"/>
          <w:lang w:val="en-US" w:eastAsia="zh-CN"/>
        </w:rPr>
        <w:t>452</w:t>
      </w:r>
      <w:r>
        <w:rPr>
          <w:rFonts w:hint="eastAsia" w:ascii="Times New Roman" w:hAnsi="Times New Roman" w:eastAsia="仿宋" w:cs="Times New Roman"/>
          <w:kern w:val="0"/>
          <w:sz w:val="28"/>
          <w:szCs w:val="28"/>
        </w:rPr>
        <w:t>公顷、供水用地0.6</w:t>
      </w:r>
      <w:r>
        <w:rPr>
          <w:rFonts w:hint="eastAsia" w:ascii="Times New Roman" w:hAnsi="Times New Roman" w:eastAsia="仿宋" w:cs="Times New Roman"/>
          <w:kern w:val="0"/>
          <w:sz w:val="28"/>
          <w:szCs w:val="28"/>
          <w:lang w:val="en-US" w:eastAsia="zh-CN"/>
        </w:rPr>
        <w:t>285</w:t>
      </w:r>
      <w:r>
        <w:rPr>
          <w:rFonts w:hint="eastAsia" w:ascii="Times New Roman" w:hAnsi="Times New Roman" w:eastAsia="仿宋" w:cs="Times New Roman"/>
          <w:kern w:val="0"/>
          <w:sz w:val="28"/>
          <w:szCs w:val="28"/>
        </w:rPr>
        <w:t>公顷、田坎0.00</w:t>
      </w:r>
      <w:r>
        <w:rPr>
          <w:rFonts w:hint="eastAsia" w:ascii="Times New Roman" w:hAnsi="Times New Roman" w:eastAsia="仿宋" w:cs="Times New Roman"/>
          <w:kern w:val="0"/>
          <w:sz w:val="28"/>
          <w:szCs w:val="28"/>
          <w:lang w:val="en-US" w:eastAsia="zh-CN"/>
        </w:rPr>
        <w:t>62</w:t>
      </w:r>
      <w:r>
        <w:rPr>
          <w:rFonts w:hint="eastAsia" w:ascii="Times New Roman" w:hAnsi="Times New Roman" w:eastAsia="仿宋" w:cs="Times New Roman"/>
          <w:kern w:val="0"/>
          <w:sz w:val="28"/>
          <w:szCs w:val="28"/>
        </w:rPr>
        <w:t>公顷，本次拟布局为供水用地0.</w:t>
      </w:r>
      <w:r>
        <w:rPr>
          <w:rFonts w:hint="eastAsia" w:ascii="Times New Roman" w:hAnsi="Times New Roman" w:eastAsia="仿宋" w:cs="Times New Roman"/>
          <w:kern w:val="0"/>
          <w:sz w:val="28"/>
          <w:szCs w:val="28"/>
          <w:lang w:val="en-US" w:eastAsia="zh-CN"/>
        </w:rPr>
        <w:t>7271</w:t>
      </w:r>
      <w:r>
        <w:rPr>
          <w:rFonts w:hint="eastAsia" w:ascii="Times New Roman" w:hAnsi="Times New Roman" w:eastAsia="仿宋" w:cs="Times New Roman"/>
          <w:kern w:val="0"/>
          <w:sz w:val="28"/>
          <w:szCs w:val="28"/>
        </w:rPr>
        <w:t>公顷。项目用地范围不占用永久基本农田、生态保护红线和城镇开发边界。由于项目布局后未突破三合村和昌州村2020年度国土变更调查村庄用地（203）规模，故不涉及调出地块。详见下表：</w:t>
      </w:r>
    </w:p>
    <w:p w14:paraId="459D1074">
      <w:pPr>
        <w:pStyle w:val="2"/>
        <w:ind w:left="0" w:leftChars="0" w:firstLine="539"/>
        <w:rPr>
          <w:rFonts w:eastAsia="仿宋" w:cs="Times New Roman"/>
          <w:spacing w:val="0"/>
          <w:kern w:val="0"/>
          <w:sz w:val="28"/>
          <w:szCs w:val="28"/>
        </w:rPr>
      </w:pPr>
      <w:r>
        <w:rPr>
          <w:rFonts w:hint="eastAsia" w:eastAsia="仿宋" w:cs="Times New Roman"/>
          <w:spacing w:val="0"/>
          <w:kern w:val="0"/>
          <w:sz w:val="28"/>
          <w:szCs w:val="28"/>
        </w:rPr>
        <w:t>表4-1 用地指标调整情况表</w:t>
      </w:r>
    </w:p>
    <w:tbl>
      <w:tblPr>
        <w:tblStyle w:val="12"/>
        <w:tblW w:w="5220" w:type="pct"/>
        <w:jc w:val="center"/>
        <w:tblLayout w:type="fixed"/>
        <w:tblCellMar>
          <w:top w:w="0" w:type="dxa"/>
          <w:left w:w="108" w:type="dxa"/>
          <w:bottom w:w="0" w:type="dxa"/>
          <w:right w:w="108" w:type="dxa"/>
        </w:tblCellMar>
      </w:tblPr>
      <w:tblGrid>
        <w:gridCol w:w="1809"/>
        <w:gridCol w:w="1561"/>
        <w:gridCol w:w="1537"/>
        <w:gridCol w:w="968"/>
        <w:gridCol w:w="1084"/>
        <w:gridCol w:w="806"/>
        <w:gridCol w:w="1132"/>
      </w:tblGrid>
      <w:tr w14:paraId="787B191D">
        <w:tblPrEx>
          <w:tblCellMar>
            <w:top w:w="0" w:type="dxa"/>
            <w:left w:w="108" w:type="dxa"/>
            <w:bottom w:w="0" w:type="dxa"/>
            <w:right w:w="108" w:type="dxa"/>
          </w:tblCellMar>
        </w:tblPrEx>
        <w:trPr>
          <w:trHeight w:val="285" w:hRule="atLeast"/>
          <w:jc w:val="center"/>
        </w:trPr>
        <w:tc>
          <w:tcPr>
            <w:tcW w:w="1016"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540A501F">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项目名称</w:t>
            </w:r>
          </w:p>
        </w:tc>
        <w:tc>
          <w:tcPr>
            <w:tcW w:w="2285" w:type="pct"/>
            <w:gridSpan w:val="3"/>
            <w:tcBorders>
              <w:top w:val="single" w:color="auto" w:sz="4" w:space="0"/>
              <w:left w:val="nil"/>
              <w:bottom w:val="single" w:color="auto" w:sz="4" w:space="0"/>
              <w:right w:val="single" w:color="auto" w:sz="4" w:space="0"/>
            </w:tcBorders>
            <w:shd w:val="clear" w:color="auto" w:fill="auto"/>
            <w:noWrap/>
            <w:vAlign w:val="center"/>
          </w:tcPr>
          <w:p w14:paraId="2AB09146">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调整前用地</w:t>
            </w:r>
          </w:p>
        </w:tc>
        <w:tc>
          <w:tcPr>
            <w:tcW w:w="1698" w:type="pct"/>
            <w:gridSpan w:val="3"/>
            <w:tcBorders>
              <w:top w:val="single" w:color="auto" w:sz="4" w:space="0"/>
              <w:left w:val="nil"/>
              <w:bottom w:val="single" w:color="auto" w:sz="4" w:space="0"/>
              <w:right w:val="single" w:color="auto" w:sz="4" w:space="0"/>
            </w:tcBorders>
            <w:shd w:val="clear" w:color="auto" w:fill="auto"/>
            <w:noWrap/>
            <w:vAlign w:val="center"/>
          </w:tcPr>
          <w:p w14:paraId="52C2065E">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调整后用地</w:t>
            </w:r>
          </w:p>
        </w:tc>
      </w:tr>
      <w:tr w14:paraId="70397FD5">
        <w:tblPrEx>
          <w:tblCellMar>
            <w:top w:w="0" w:type="dxa"/>
            <w:left w:w="108" w:type="dxa"/>
            <w:bottom w:w="0" w:type="dxa"/>
            <w:right w:w="108" w:type="dxa"/>
          </w:tblCellMar>
        </w:tblPrEx>
        <w:trPr>
          <w:trHeight w:val="285" w:hRule="atLeast"/>
          <w:jc w:val="center"/>
        </w:trPr>
        <w:tc>
          <w:tcPr>
            <w:tcW w:w="1016" w:type="pct"/>
            <w:vMerge w:val="continue"/>
            <w:tcBorders>
              <w:top w:val="single" w:color="auto" w:sz="4" w:space="0"/>
              <w:left w:val="single" w:color="auto" w:sz="4" w:space="0"/>
              <w:bottom w:val="single" w:color="auto" w:sz="4" w:space="0"/>
              <w:right w:val="single" w:color="auto" w:sz="4" w:space="0"/>
            </w:tcBorders>
            <w:vAlign w:val="center"/>
          </w:tcPr>
          <w:p w14:paraId="257F6CFD">
            <w:pPr>
              <w:widowControl/>
              <w:jc w:val="left"/>
              <w:rPr>
                <w:rFonts w:ascii="Times New Roman" w:hAnsi="Times New Roman" w:eastAsia="仿宋" w:cs="Times New Roman"/>
                <w:color w:val="000000"/>
                <w:kern w:val="0"/>
                <w:szCs w:val="21"/>
              </w:rPr>
            </w:pPr>
          </w:p>
        </w:tc>
        <w:tc>
          <w:tcPr>
            <w:tcW w:w="877" w:type="pct"/>
            <w:tcBorders>
              <w:top w:val="nil"/>
              <w:left w:val="nil"/>
              <w:bottom w:val="single" w:color="auto" w:sz="4" w:space="0"/>
              <w:right w:val="single" w:color="auto" w:sz="4" w:space="0"/>
            </w:tcBorders>
            <w:shd w:val="clear" w:color="auto" w:fill="auto"/>
            <w:noWrap/>
            <w:vAlign w:val="center"/>
          </w:tcPr>
          <w:p w14:paraId="2484FEB4">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一级类</w:t>
            </w:r>
          </w:p>
        </w:tc>
        <w:tc>
          <w:tcPr>
            <w:tcW w:w="863" w:type="pct"/>
            <w:tcBorders>
              <w:top w:val="nil"/>
              <w:left w:val="nil"/>
              <w:bottom w:val="single" w:color="auto" w:sz="4" w:space="0"/>
              <w:right w:val="single" w:color="auto" w:sz="4" w:space="0"/>
            </w:tcBorders>
            <w:shd w:val="clear" w:color="auto" w:fill="auto"/>
            <w:noWrap/>
            <w:vAlign w:val="center"/>
          </w:tcPr>
          <w:p w14:paraId="1D2BFC3C">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二级类</w:t>
            </w:r>
          </w:p>
        </w:tc>
        <w:tc>
          <w:tcPr>
            <w:tcW w:w="544" w:type="pct"/>
            <w:tcBorders>
              <w:top w:val="nil"/>
              <w:left w:val="nil"/>
              <w:bottom w:val="single" w:color="auto" w:sz="4" w:space="0"/>
              <w:right w:val="single" w:color="auto" w:sz="4" w:space="0"/>
            </w:tcBorders>
            <w:shd w:val="clear" w:color="auto" w:fill="auto"/>
            <w:noWrap/>
            <w:vAlign w:val="center"/>
          </w:tcPr>
          <w:p w14:paraId="3B785028">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面积（公顷）</w:t>
            </w:r>
          </w:p>
        </w:tc>
        <w:tc>
          <w:tcPr>
            <w:tcW w:w="609" w:type="pct"/>
            <w:tcBorders>
              <w:top w:val="nil"/>
              <w:left w:val="nil"/>
              <w:bottom w:val="single" w:color="auto" w:sz="4" w:space="0"/>
              <w:right w:val="single" w:color="auto" w:sz="4" w:space="0"/>
            </w:tcBorders>
            <w:shd w:val="clear" w:color="auto" w:fill="auto"/>
            <w:noWrap/>
            <w:vAlign w:val="center"/>
          </w:tcPr>
          <w:p w14:paraId="11A7D784">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一级类</w:t>
            </w:r>
          </w:p>
        </w:tc>
        <w:tc>
          <w:tcPr>
            <w:tcW w:w="452" w:type="pct"/>
            <w:tcBorders>
              <w:top w:val="nil"/>
              <w:left w:val="nil"/>
              <w:bottom w:val="single" w:color="auto" w:sz="4" w:space="0"/>
              <w:right w:val="single" w:color="auto" w:sz="4" w:space="0"/>
            </w:tcBorders>
            <w:shd w:val="clear" w:color="auto" w:fill="auto"/>
            <w:noWrap/>
            <w:vAlign w:val="center"/>
          </w:tcPr>
          <w:p w14:paraId="6F039348">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二级类</w:t>
            </w:r>
          </w:p>
        </w:tc>
        <w:tc>
          <w:tcPr>
            <w:tcW w:w="636" w:type="pct"/>
            <w:tcBorders>
              <w:top w:val="nil"/>
              <w:left w:val="nil"/>
              <w:bottom w:val="single" w:color="auto" w:sz="4" w:space="0"/>
              <w:right w:val="single" w:color="auto" w:sz="4" w:space="0"/>
            </w:tcBorders>
            <w:shd w:val="clear" w:color="auto" w:fill="auto"/>
            <w:noWrap/>
            <w:vAlign w:val="center"/>
          </w:tcPr>
          <w:p w14:paraId="77361110">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面积（公顷）</w:t>
            </w:r>
          </w:p>
        </w:tc>
      </w:tr>
      <w:tr w14:paraId="6E49EDEF">
        <w:tblPrEx>
          <w:tblCellMar>
            <w:top w:w="0" w:type="dxa"/>
            <w:left w:w="108" w:type="dxa"/>
            <w:bottom w:w="0" w:type="dxa"/>
            <w:right w:w="108" w:type="dxa"/>
          </w:tblCellMar>
        </w:tblPrEx>
        <w:trPr>
          <w:trHeight w:val="285" w:hRule="atLeast"/>
          <w:jc w:val="center"/>
        </w:trPr>
        <w:tc>
          <w:tcPr>
            <w:tcW w:w="1016" w:type="pct"/>
            <w:vMerge w:val="restart"/>
            <w:tcBorders>
              <w:top w:val="nil"/>
              <w:left w:val="single" w:color="auto" w:sz="4" w:space="0"/>
              <w:bottom w:val="single" w:color="auto" w:sz="4" w:space="0"/>
              <w:right w:val="single" w:color="auto" w:sz="4" w:space="0"/>
            </w:tcBorders>
            <w:shd w:val="clear" w:color="auto" w:fill="auto"/>
            <w:noWrap/>
            <w:vAlign w:val="center"/>
          </w:tcPr>
          <w:p w14:paraId="68E9F34E">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盘龙镇三合村渔业加工厂房及设备建设项目</w:t>
            </w:r>
          </w:p>
        </w:tc>
        <w:tc>
          <w:tcPr>
            <w:tcW w:w="877" w:type="pct"/>
            <w:tcBorders>
              <w:top w:val="nil"/>
              <w:left w:val="nil"/>
              <w:bottom w:val="single" w:color="auto" w:sz="4" w:space="0"/>
              <w:right w:val="single" w:color="auto" w:sz="4" w:space="0"/>
            </w:tcBorders>
            <w:shd w:val="clear" w:color="auto" w:fill="auto"/>
            <w:noWrap/>
            <w:vAlign w:val="center"/>
          </w:tcPr>
          <w:p w14:paraId="7227EAF3">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耕地</w:t>
            </w:r>
          </w:p>
        </w:tc>
        <w:tc>
          <w:tcPr>
            <w:tcW w:w="863" w:type="pct"/>
            <w:tcBorders>
              <w:top w:val="nil"/>
              <w:left w:val="nil"/>
              <w:bottom w:val="single" w:color="auto" w:sz="4" w:space="0"/>
              <w:right w:val="single" w:color="auto" w:sz="4" w:space="0"/>
            </w:tcBorders>
            <w:shd w:val="clear" w:color="auto" w:fill="auto"/>
            <w:noWrap/>
            <w:vAlign w:val="center"/>
          </w:tcPr>
          <w:p w14:paraId="006D5089">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旱地</w:t>
            </w:r>
          </w:p>
        </w:tc>
        <w:tc>
          <w:tcPr>
            <w:tcW w:w="544" w:type="pct"/>
            <w:tcBorders>
              <w:top w:val="nil"/>
              <w:left w:val="nil"/>
              <w:bottom w:val="single" w:color="auto" w:sz="4" w:space="0"/>
              <w:right w:val="single" w:color="auto" w:sz="4" w:space="0"/>
            </w:tcBorders>
            <w:shd w:val="clear" w:color="auto" w:fill="auto"/>
            <w:noWrap/>
            <w:vAlign w:val="center"/>
          </w:tcPr>
          <w:p w14:paraId="7CB74C97">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0.0848</w:t>
            </w:r>
          </w:p>
        </w:tc>
        <w:tc>
          <w:tcPr>
            <w:tcW w:w="609" w:type="pct"/>
            <w:vMerge w:val="restart"/>
            <w:tcBorders>
              <w:top w:val="nil"/>
              <w:left w:val="single" w:color="auto" w:sz="4" w:space="0"/>
              <w:bottom w:val="single" w:color="000000" w:sz="4" w:space="0"/>
              <w:right w:val="single" w:color="auto" w:sz="4" w:space="0"/>
            </w:tcBorders>
            <w:shd w:val="clear" w:color="auto" w:fill="auto"/>
            <w:noWrap/>
            <w:vAlign w:val="center"/>
          </w:tcPr>
          <w:p w14:paraId="1F023F3C">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工矿用地</w:t>
            </w:r>
          </w:p>
        </w:tc>
        <w:tc>
          <w:tcPr>
            <w:tcW w:w="452" w:type="pct"/>
            <w:vMerge w:val="restart"/>
            <w:tcBorders>
              <w:top w:val="nil"/>
              <w:left w:val="single" w:color="auto" w:sz="4" w:space="0"/>
              <w:bottom w:val="single" w:color="000000" w:sz="4" w:space="0"/>
              <w:right w:val="single" w:color="auto" w:sz="4" w:space="0"/>
            </w:tcBorders>
            <w:shd w:val="clear" w:color="auto" w:fill="auto"/>
            <w:noWrap/>
            <w:vAlign w:val="center"/>
          </w:tcPr>
          <w:p w14:paraId="3440A1E9">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工业用地</w:t>
            </w:r>
          </w:p>
        </w:tc>
        <w:tc>
          <w:tcPr>
            <w:tcW w:w="636" w:type="pct"/>
            <w:vMerge w:val="restart"/>
            <w:tcBorders>
              <w:top w:val="nil"/>
              <w:left w:val="single" w:color="auto" w:sz="4" w:space="0"/>
              <w:bottom w:val="single" w:color="000000" w:sz="4" w:space="0"/>
              <w:right w:val="single" w:color="auto" w:sz="4" w:space="0"/>
            </w:tcBorders>
            <w:shd w:val="clear" w:color="auto" w:fill="auto"/>
            <w:noWrap/>
            <w:vAlign w:val="center"/>
          </w:tcPr>
          <w:p w14:paraId="2E903B91">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0.3121</w:t>
            </w:r>
          </w:p>
        </w:tc>
      </w:tr>
      <w:tr w14:paraId="09EFD4AB">
        <w:tblPrEx>
          <w:tblCellMar>
            <w:top w:w="0" w:type="dxa"/>
            <w:left w:w="108" w:type="dxa"/>
            <w:bottom w:w="0" w:type="dxa"/>
            <w:right w:w="108" w:type="dxa"/>
          </w:tblCellMar>
        </w:tblPrEx>
        <w:trPr>
          <w:trHeight w:val="285" w:hRule="atLeast"/>
          <w:jc w:val="center"/>
        </w:trPr>
        <w:tc>
          <w:tcPr>
            <w:tcW w:w="1016" w:type="pct"/>
            <w:vMerge w:val="continue"/>
            <w:tcBorders>
              <w:top w:val="nil"/>
              <w:left w:val="single" w:color="auto" w:sz="4" w:space="0"/>
              <w:bottom w:val="single" w:color="auto" w:sz="4" w:space="0"/>
              <w:right w:val="single" w:color="auto" w:sz="4" w:space="0"/>
            </w:tcBorders>
            <w:vAlign w:val="center"/>
          </w:tcPr>
          <w:p w14:paraId="2539D5DF">
            <w:pPr>
              <w:widowControl/>
              <w:jc w:val="left"/>
              <w:rPr>
                <w:rFonts w:ascii="Times New Roman" w:hAnsi="Times New Roman" w:eastAsia="仿宋" w:cs="Times New Roman"/>
                <w:color w:val="000000"/>
                <w:kern w:val="0"/>
                <w:szCs w:val="21"/>
              </w:rPr>
            </w:pPr>
          </w:p>
        </w:tc>
        <w:tc>
          <w:tcPr>
            <w:tcW w:w="877" w:type="pct"/>
            <w:tcBorders>
              <w:top w:val="nil"/>
              <w:left w:val="nil"/>
              <w:bottom w:val="single" w:color="auto" w:sz="4" w:space="0"/>
              <w:right w:val="single" w:color="auto" w:sz="4" w:space="0"/>
            </w:tcBorders>
            <w:shd w:val="clear" w:color="auto" w:fill="auto"/>
            <w:noWrap/>
            <w:vAlign w:val="center"/>
          </w:tcPr>
          <w:p w14:paraId="36CEA301">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林地</w:t>
            </w:r>
          </w:p>
        </w:tc>
        <w:tc>
          <w:tcPr>
            <w:tcW w:w="863" w:type="pct"/>
            <w:tcBorders>
              <w:top w:val="nil"/>
              <w:left w:val="nil"/>
              <w:bottom w:val="single" w:color="auto" w:sz="4" w:space="0"/>
              <w:right w:val="single" w:color="auto" w:sz="4" w:space="0"/>
            </w:tcBorders>
            <w:shd w:val="clear" w:color="auto" w:fill="auto"/>
            <w:noWrap/>
            <w:vAlign w:val="center"/>
          </w:tcPr>
          <w:p w14:paraId="305032C8">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竹林地</w:t>
            </w:r>
          </w:p>
        </w:tc>
        <w:tc>
          <w:tcPr>
            <w:tcW w:w="544" w:type="pct"/>
            <w:tcBorders>
              <w:top w:val="nil"/>
              <w:left w:val="nil"/>
              <w:bottom w:val="single" w:color="auto" w:sz="4" w:space="0"/>
              <w:right w:val="single" w:color="auto" w:sz="4" w:space="0"/>
            </w:tcBorders>
            <w:shd w:val="clear" w:color="auto" w:fill="auto"/>
            <w:noWrap/>
            <w:vAlign w:val="center"/>
          </w:tcPr>
          <w:p w14:paraId="0FB8FF32">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0.0154</w:t>
            </w:r>
          </w:p>
        </w:tc>
        <w:tc>
          <w:tcPr>
            <w:tcW w:w="609" w:type="pct"/>
            <w:vMerge w:val="continue"/>
            <w:tcBorders>
              <w:top w:val="nil"/>
              <w:left w:val="single" w:color="auto" w:sz="4" w:space="0"/>
              <w:bottom w:val="single" w:color="000000" w:sz="4" w:space="0"/>
              <w:right w:val="single" w:color="auto" w:sz="4" w:space="0"/>
            </w:tcBorders>
            <w:vAlign w:val="center"/>
          </w:tcPr>
          <w:p w14:paraId="4722E127">
            <w:pPr>
              <w:widowControl/>
              <w:jc w:val="left"/>
              <w:rPr>
                <w:rFonts w:ascii="Times New Roman" w:hAnsi="Times New Roman" w:eastAsia="仿宋" w:cs="Times New Roman"/>
                <w:color w:val="000000"/>
                <w:kern w:val="0"/>
                <w:szCs w:val="21"/>
              </w:rPr>
            </w:pPr>
          </w:p>
        </w:tc>
        <w:tc>
          <w:tcPr>
            <w:tcW w:w="452" w:type="pct"/>
            <w:vMerge w:val="continue"/>
            <w:tcBorders>
              <w:top w:val="nil"/>
              <w:left w:val="single" w:color="auto" w:sz="4" w:space="0"/>
              <w:bottom w:val="single" w:color="000000" w:sz="4" w:space="0"/>
              <w:right w:val="single" w:color="auto" w:sz="4" w:space="0"/>
            </w:tcBorders>
            <w:vAlign w:val="center"/>
          </w:tcPr>
          <w:p w14:paraId="202473A8">
            <w:pPr>
              <w:widowControl/>
              <w:jc w:val="left"/>
              <w:rPr>
                <w:rFonts w:ascii="Times New Roman" w:hAnsi="Times New Roman" w:eastAsia="仿宋" w:cs="Times New Roman"/>
                <w:color w:val="000000"/>
                <w:kern w:val="0"/>
                <w:szCs w:val="21"/>
              </w:rPr>
            </w:pPr>
          </w:p>
        </w:tc>
        <w:tc>
          <w:tcPr>
            <w:tcW w:w="636" w:type="pct"/>
            <w:vMerge w:val="continue"/>
            <w:tcBorders>
              <w:top w:val="nil"/>
              <w:left w:val="single" w:color="auto" w:sz="4" w:space="0"/>
              <w:bottom w:val="single" w:color="000000" w:sz="4" w:space="0"/>
              <w:right w:val="single" w:color="auto" w:sz="4" w:space="0"/>
            </w:tcBorders>
            <w:vAlign w:val="center"/>
          </w:tcPr>
          <w:p w14:paraId="3175A962">
            <w:pPr>
              <w:widowControl/>
              <w:jc w:val="left"/>
              <w:rPr>
                <w:rFonts w:ascii="Times New Roman" w:hAnsi="Times New Roman" w:eastAsia="仿宋" w:cs="Times New Roman"/>
                <w:color w:val="000000"/>
                <w:kern w:val="0"/>
                <w:szCs w:val="21"/>
              </w:rPr>
            </w:pPr>
          </w:p>
        </w:tc>
      </w:tr>
      <w:tr w14:paraId="76934709">
        <w:tblPrEx>
          <w:tblCellMar>
            <w:top w:w="0" w:type="dxa"/>
            <w:left w:w="108" w:type="dxa"/>
            <w:bottom w:w="0" w:type="dxa"/>
            <w:right w:w="108" w:type="dxa"/>
          </w:tblCellMar>
        </w:tblPrEx>
        <w:trPr>
          <w:trHeight w:val="285" w:hRule="atLeast"/>
          <w:jc w:val="center"/>
        </w:trPr>
        <w:tc>
          <w:tcPr>
            <w:tcW w:w="1016" w:type="pct"/>
            <w:vMerge w:val="continue"/>
            <w:tcBorders>
              <w:top w:val="nil"/>
              <w:left w:val="single" w:color="auto" w:sz="4" w:space="0"/>
              <w:bottom w:val="single" w:color="auto" w:sz="4" w:space="0"/>
              <w:right w:val="single" w:color="auto" w:sz="4" w:space="0"/>
            </w:tcBorders>
            <w:vAlign w:val="center"/>
          </w:tcPr>
          <w:p w14:paraId="50BE6336">
            <w:pPr>
              <w:widowControl/>
              <w:jc w:val="left"/>
              <w:rPr>
                <w:rFonts w:ascii="Times New Roman" w:hAnsi="Times New Roman" w:eastAsia="仿宋" w:cs="Times New Roman"/>
                <w:color w:val="000000"/>
                <w:kern w:val="0"/>
                <w:szCs w:val="21"/>
              </w:rPr>
            </w:pPr>
          </w:p>
        </w:tc>
        <w:tc>
          <w:tcPr>
            <w:tcW w:w="877" w:type="pct"/>
            <w:tcBorders>
              <w:top w:val="nil"/>
              <w:left w:val="nil"/>
              <w:bottom w:val="single" w:color="auto" w:sz="4" w:space="0"/>
              <w:right w:val="single" w:color="auto" w:sz="4" w:space="0"/>
            </w:tcBorders>
            <w:shd w:val="clear" w:color="auto" w:fill="auto"/>
            <w:noWrap/>
            <w:vAlign w:val="center"/>
          </w:tcPr>
          <w:p w14:paraId="32F0E636">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居住用地</w:t>
            </w:r>
          </w:p>
        </w:tc>
        <w:tc>
          <w:tcPr>
            <w:tcW w:w="863" w:type="pct"/>
            <w:tcBorders>
              <w:top w:val="nil"/>
              <w:left w:val="nil"/>
              <w:bottom w:val="single" w:color="auto" w:sz="4" w:space="0"/>
              <w:right w:val="single" w:color="auto" w:sz="4" w:space="0"/>
            </w:tcBorders>
            <w:shd w:val="clear" w:color="auto" w:fill="auto"/>
            <w:noWrap/>
            <w:vAlign w:val="center"/>
          </w:tcPr>
          <w:p w14:paraId="5EBC660E">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农村宅基地</w:t>
            </w:r>
          </w:p>
        </w:tc>
        <w:tc>
          <w:tcPr>
            <w:tcW w:w="544" w:type="pct"/>
            <w:tcBorders>
              <w:top w:val="nil"/>
              <w:left w:val="nil"/>
              <w:bottom w:val="single" w:color="auto" w:sz="4" w:space="0"/>
              <w:right w:val="single" w:color="auto" w:sz="4" w:space="0"/>
            </w:tcBorders>
            <w:shd w:val="clear" w:color="auto" w:fill="auto"/>
            <w:noWrap/>
            <w:vAlign w:val="center"/>
          </w:tcPr>
          <w:p w14:paraId="7CA40904">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0.2077</w:t>
            </w:r>
          </w:p>
        </w:tc>
        <w:tc>
          <w:tcPr>
            <w:tcW w:w="609" w:type="pct"/>
            <w:vMerge w:val="continue"/>
            <w:tcBorders>
              <w:top w:val="nil"/>
              <w:left w:val="single" w:color="auto" w:sz="4" w:space="0"/>
              <w:bottom w:val="single" w:color="000000" w:sz="4" w:space="0"/>
              <w:right w:val="single" w:color="auto" w:sz="4" w:space="0"/>
            </w:tcBorders>
            <w:vAlign w:val="center"/>
          </w:tcPr>
          <w:p w14:paraId="3BFAC7CE">
            <w:pPr>
              <w:widowControl/>
              <w:jc w:val="left"/>
              <w:rPr>
                <w:rFonts w:ascii="Times New Roman" w:hAnsi="Times New Roman" w:eastAsia="仿宋" w:cs="Times New Roman"/>
                <w:color w:val="000000"/>
                <w:kern w:val="0"/>
                <w:szCs w:val="21"/>
              </w:rPr>
            </w:pPr>
          </w:p>
        </w:tc>
        <w:tc>
          <w:tcPr>
            <w:tcW w:w="452" w:type="pct"/>
            <w:vMerge w:val="continue"/>
            <w:tcBorders>
              <w:top w:val="nil"/>
              <w:left w:val="single" w:color="auto" w:sz="4" w:space="0"/>
              <w:bottom w:val="single" w:color="000000" w:sz="4" w:space="0"/>
              <w:right w:val="single" w:color="auto" w:sz="4" w:space="0"/>
            </w:tcBorders>
            <w:vAlign w:val="center"/>
          </w:tcPr>
          <w:p w14:paraId="1ECFEC26">
            <w:pPr>
              <w:widowControl/>
              <w:jc w:val="left"/>
              <w:rPr>
                <w:rFonts w:ascii="Times New Roman" w:hAnsi="Times New Roman" w:eastAsia="仿宋" w:cs="Times New Roman"/>
                <w:color w:val="000000"/>
                <w:kern w:val="0"/>
                <w:szCs w:val="21"/>
              </w:rPr>
            </w:pPr>
          </w:p>
        </w:tc>
        <w:tc>
          <w:tcPr>
            <w:tcW w:w="636" w:type="pct"/>
            <w:vMerge w:val="continue"/>
            <w:tcBorders>
              <w:top w:val="nil"/>
              <w:left w:val="single" w:color="auto" w:sz="4" w:space="0"/>
              <w:bottom w:val="single" w:color="000000" w:sz="4" w:space="0"/>
              <w:right w:val="single" w:color="auto" w:sz="4" w:space="0"/>
            </w:tcBorders>
            <w:vAlign w:val="center"/>
          </w:tcPr>
          <w:p w14:paraId="29A33E21">
            <w:pPr>
              <w:widowControl/>
              <w:jc w:val="left"/>
              <w:rPr>
                <w:rFonts w:ascii="Times New Roman" w:hAnsi="Times New Roman" w:eastAsia="仿宋" w:cs="Times New Roman"/>
                <w:color w:val="000000"/>
                <w:kern w:val="0"/>
                <w:szCs w:val="21"/>
              </w:rPr>
            </w:pPr>
          </w:p>
        </w:tc>
      </w:tr>
      <w:tr w14:paraId="382ED7DE">
        <w:tblPrEx>
          <w:tblCellMar>
            <w:top w:w="0" w:type="dxa"/>
            <w:left w:w="108" w:type="dxa"/>
            <w:bottom w:w="0" w:type="dxa"/>
            <w:right w:w="108" w:type="dxa"/>
          </w:tblCellMar>
        </w:tblPrEx>
        <w:trPr>
          <w:trHeight w:val="285" w:hRule="atLeast"/>
          <w:jc w:val="center"/>
        </w:trPr>
        <w:tc>
          <w:tcPr>
            <w:tcW w:w="1016" w:type="pct"/>
            <w:vMerge w:val="continue"/>
            <w:tcBorders>
              <w:top w:val="nil"/>
              <w:left w:val="single" w:color="auto" w:sz="4" w:space="0"/>
              <w:bottom w:val="single" w:color="auto" w:sz="4" w:space="0"/>
              <w:right w:val="single" w:color="auto" w:sz="4" w:space="0"/>
            </w:tcBorders>
            <w:vAlign w:val="center"/>
          </w:tcPr>
          <w:p w14:paraId="0B191650">
            <w:pPr>
              <w:widowControl/>
              <w:jc w:val="left"/>
              <w:rPr>
                <w:rFonts w:ascii="Times New Roman" w:hAnsi="Times New Roman" w:eastAsia="仿宋" w:cs="Times New Roman"/>
                <w:color w:val="000000"/>
                <w:kern w:val="0"/>
                <w:szCs w:val="21"/>
              </w:rPr>
            </w:pPr>
          </w:p>
        </w:tc>
        <w:tc>
          <w:tcPr>
            <w:tcW w:w="877" w:type="pct"/>
            <w:tcBorders>
              <w:top w:val="nil"/>
              <w:left w:val="nil"/>
              <w:bottom w:val="single" w:color="auto" w:sz="4" w:space="0"/>
              <w:right w:val="single" w:color="auto" w:sz="4" w:space="0"/>
            </w:tcBorders>
            <w:shd w:val="clear" w:color="auto" w:fill="auto"/>
            <w:noWrap/>
            <w:vAlign w:val="center"/>
          </w:tcPr>
          <w:p w14:paraId="5C79C012">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其他土地</w:t>
            </w:r>
          </w:p>
        </w:tc>
        <w:tc>
          <w:tcPr>
            <w:tcW w:w="863" w:type="pct"/>
            <w:tcBorders>
              <w:top w:val="nil"/>
              <w:left w:val="nil"/>
              <w:bottom w:val="single" w:color="auto" w:sz="4" w:space="0"/>
              <w:right w:val="single" w:color="auto" w:sz="4" w:space="0"/>
            </w:tcBorders>
            <w:shd w:val="clear" w:color="auto" w:fill="auto"/>
            <w:noWrap/>
            <w:vAlign w:val="center"/>
          </w:tcPr>
          <w:p w14:paraId="45CA578B">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田坎</w:t>
            </w:r>
          </w:p>
        </w:tc>
        <w:tc>
          <w:tcPr>
            <w:tcW w:w="544" w:type="pct"/>
            <w:tcBorders>
              <w:top w:val="nil"/>
              <w:left w:val="nil"/>
              <w:bottom w:val="single" w:color="auto" w:sz="4" w:space="0"/>
              <w:right w:val="single" w:color="auto" w:sz="4" w:space="0"/>
            </w:tcBorders>
            <w:shd w:val="clear" w:color="auto" w:fill="auto"/>
            <w:noWrap/>
            <w:vAlign w:val="center"/>
          </w:tcPr>
          <w:p w14:paraId="7E8D43A3">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0.0042</w:t>
            </w:r>
          </w:p>
        </w:tc>
        <w:tc>
          <w:tcPr>
            <w:tcW w:w="609" w:type="pct"/>
            <w:vMerge w:val="continue"/>
            <w:tcBorders>
              <w:top w:val="nil"/>
              <w:left w:val="single" w:color="auto" w:sz="4" w:space="0"/>
              <w:bottom w:val="single" w:color="000000" w:sz="4" w:space="0"/>
              <w:right w:val="single" w:color="auto" w:sz="4" w:space="0"/>
            </w:tcBorders>
            <w:vAlign w:val="center"/>
          </w:tcPr>
          <w:p w14:paraId="0C68C3BF">
            <w:pPr>
              <w:widowControl/>
              <w:jc w:val="left"/>
              <w:rPr>
                <w:rFonts w:ascii="Times New Roman" w:hAnsi="Times New Roman" w:eastAsia="仿宋" w:cs="Times New Roman"/>
                <w:color w:val="000000"/>
                <w:kern w:val="0"/>
                <w:szCs w:val="21"/>
              </w:rPr>
            </w:pPr>
          </w:p>
        </w:tc>
        <w:tc>
          <w:tcPr>
            <w:tcW w:w="452" w:type="pct"/>
            <w:vMerge w:val="continue"/>
            <w:tcBorders>
              <w:top w:val="nil"/>
              <w:left w:val="single" w:color="auto" w:sz="4" w:space="0"/>
              <w:bottom w:val="single" w:color="000000" w:sz="4" w:space="0"/>
              <w:right w:val="single" w:color="auto" w:sz="4" w:space="0"/>
            </w:tcBorders>
            <w:vAlign w:val="center"/>
          </w:tcPr>
          <w:p w14:paraId="2A2A2FB5">
            <w:pPr>
              <w:widowControl/>
              <w:jc w:val="left"/>
              <w:rPr>
                <w:rFonts w:ascii="Times New Roman" w:hAnsi="Times New Roman" w:eastAsia="仿宋" w:cs="Times New Roman"/>
                <w:color w:val="000000"/>
                <w:kern w:val="0"/>
                <w:szCs w:val="21"/>
              </w:rPr>
            </w:pPr>
          </w:p>
        </w:tc>
        <w:tc>
          <w:tcPr>
            <w:tcW w:w="636" w:type="pct"/>
            <w:vMerge w:val="continue"/>
            <w:tcBorders>
              <w:top w:val="nil"/>
              <w:left w:val="single" w:color="auto" w:sz="4" w:space="0"/>
              <w:bottom w:val="single" w:color="000000" w:sz="4" w:space="0"/>
              <w:right w:val="single" w:color="auto" w:sz="4" w:space="0"/>
            </w:tcBorders>
            <w:vAlign w:val="center"/>
          </w:tcPr>
          <w:p w14:paraId="2F750ADF">
            <w:pPr>
              <w:widowControl/>
              <w:jc w:val="left"/>
              <w:rPr>
                <w:rFonts w:ascii="Times New Roman" w:hAnsi="Times New Roman" w:eastAsia="仿宋" w:cs="Times New Roman"/>
                <w:color w:val="000000"/>
                <w:kern w:val="0"/>
                <w:szCs w:val="21"/>
              </w:rPr>
            </w:pPr>
          </w:p>
        </w:tc>
      </w:tr>
      <w:tr w14:paraId="3DEE9EDE">
        <w:tblPrEx>
          <w:tblCellMar>
            <w:top w:w="0" w:type="dxa"/>
            <w:left w:w="108" w:type="dxa"/>
            <w:bottom w:w="0" w:type="dxa"/>
            <w:right w:w="108" w:type="dxa"/>
          </w:tblCellMar>
        </w:tblPrEx>
        <w:trPr>
          <w:trHeight w:val="285" w:hRule="atLeast"/>
          <w:jc w:val="center"/>
        </w:trPr>
        <w:tc>
          <w:tcPr>
            <w:tcW w:w="1016" w:type="pct"/>
            <w:vMerge w:val="restart"/>
            <w:tcBorders>
              <w:top w:val="nil"/>
              <w:left w:val="single" w:color="auto" w:sz="4" w:space="0"/>
              <w:bottom w:val="single" w:color="auto" w:sz="4" w:space="0"/>
              <w:right w:val="single" w:color="auto" w:sz="4" w:space="0"/>
            </w:tcBorders>
            <w:shd w:val="clear" w:color="auto" w:fill="auto"/>
            <w:noWrap/>
            <w:vAlign w:val="center"/>
          </w:tcPr>
          <w:p w14:paraId="781C24BB">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重庆市荣昌区盘龙镇农村饮水安全稳固提升工程项目</w:t>
            </w:r>
          </w:p>
        </w:tc>
        <w:tc>
          <w:tcPr>
            <w:tcW w:w="877" w:type="pct"/>
            <w:vMerge w:val="restart"/>
            <w:tcBorders>
              <w:top w:val="nil"/>
              <w:left w:val="single" w:color="auto" w:sz="4" w:space="0"/>
              <w:bottom w:val="single" w:color="auto" w:sz="4" w:space="0"/>
              <w:right w:val="single" w:color="auto" w:sz="4" w:space="0"/>
            </w:tcBorders>
            <w:shd w:val="clear" w:color="auto" w:fill="auto"/>
            <w:noWrap/>
            <w:vAlign w:val="center"/>
          </w:tcPr>
          <w:p w14:paraId="6ABA05E7">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耕地</w:t>
            </w:r>
          </w:p>
        </w:tc>
        <w:tc>
          <w:tcPr>
            <w:tcW w:w="863" w:type="pct"/>
            <w:tcBorders>
              <w:top w:val="nil"/>
              <w:left w:val="nil"/>
              <w:bottom w:val="single" w:color="auto" w:sz="4" w:space="0"/>
              <w:right w:val="single" w:color="auto" w:sz="4" w:space="0"/>
            </w:tcBorders>
            <w:shd w:val="clear" w:color="auto" w:fill="auto"/>
            <w:noWrap/>
            <w:vAlign w:val="center"/>
          </w:tcPr>
          <w:p w14:paraId="7D816560">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旱地</w:t>
            </w:r>
          </w:p>
        </w:tc>
        <w:tc>
          <w:tcPr>
            <w:tcW w:w="544" w:type="pct"/>
            <w:tcBorders>
              <w:top w:val="nil"/>
              <w:left w:val="nil"/>
              <w:bottom w:val="single" w:color="auto" w:sz="4" w:space="0"/>
              <w:right w:val="single" w:color="auto" w:sz="4" w:space="0"/>
            </w:tcBorders>
            <w:shd w:val="clear" w:color="auto" w:fill="auto"/>
            <w:noWrap/>
            <w:vAlign w:val="center"/>
          </w:tcPr>
          <w:p w14:paraId="681B1ABE">
            <w:pPr>
              <w:widowControl/>
              <w:jc w:val="center"/>
              <w:rPr>
                <w:rFonts w:hint="default" w:ascii="Times New Roman" w:hAnsi="Times New Roman" w:eastAsia="仿宋" w:cs="Times New Roman"/>
                <w:color w:val="000000"/>
                <w:kern w:val="0"/>
                <w:szCs w:val="21"/>
                <w:lang w:val="en-US" w:eastAsia="zh-CN"/>
              </w:rPr>
            </w:pPr>
            <w:r>
              <w:rPr>
                <w:rFonts w:hint="eastAsia" w:ascii="Times New Roman" w:hAnsi="Times New Roman" w:eastAsia="仿宋" w:cs="Times New Roman"/>
                <w:color w:val="000000"/>
                <w:kern w:val="0"/>
                <w:szCs w:val="21"/>
                <w:lang w:val="en-US" w:eastAsia="zh-CN"/>
              </w:rPr>
              <w:t>0.0164</w:t>
            </w:r>
          </w:p>
        </w:tc>
        <w:tc>
          <w:tcPr>
            <w:tcW w:w="609" w:type="pct"/>
            <w:vMerge w:val="restart"/>
            <w:tcBorders>
              <w:top w:val="nil"/>
              <w:left w:val="single" w:color="auto" w:sz="4" w:space="0"/>
              <w:bottom w:val="single" w:color="000000" w:sz="4" w:space="0"/>
              <w:right w:val="single" w:color="auto" w:sz="4" w:space="0"/>
            </w:tcBorders>
            <w:shd w:val="clear" w:color="auto" w:fill="auto"/>
            <w:noWrap/>
            <w:vAlign w:val="center"/>
          </w:tcPr>
          <w:p w14:paraId="72DDE96D">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公用设施用地</w:t>
            </w:r>
          </w:p>
        </w:tc>
        <w:tc>
          <w:tcPr>
            <w:tcW w:w="452" w:type="pct"/>
            <w:vMerge w:val="restart"/>
            <w:tcBorders>
              <w:top w:val="nil"/>
              <w:left w:val="single" w:color="auto" w:sz="4" w:space="0"/>
              <w:bottom w:val="single" w:color="000000" w:sz="4" w:space="0"/>
              <w:right w:val="single" w:color="auto" w:sz="4" w:space="0"/>
            </w:tcBorders>
            <w:shd w:val="clear" w:color="auto" w:fill="auto"/>
            <w:noWrap/>
            <w:vAlign w:val="center"/>
          </w:tcPr>
          <w:p w14:paraId="4650E4D9">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供水用地</w:t>
            </w:r>
          </w:p>
        </w:tc>
        <w:tc>
          <w:tcPr>
            <w:tcW w:w="636" w:type="pct"/>
            <w:vMerge w:val="restart"/>
            <w:tcBorders>
              <w:top w:val="nil"/>
              <w:left w:val="single" w:color="auto" w:sz="4" w:space="0"/>
              <w:bottom w:val="single" w:color="000000" w:sz="4" w:space="0"/>
              <w:right w:val="single" w:color="auto" w:sz="4" w:space="0"/>
            </w:tcBorders>
            <w:shd w:val="clear" w:color="auto" w:fill="auto"/>
            <w:noWrap/>
            <w:vAlign w:val="center"/>
          </w:tcPr>
          <w:p w14:paraId="2868220A">
            <w:pPr>
              <w:widowControl/>
              <w:jc w:val="center"/>
              <w:rPr>
                <w:rFonts w:hint="default" w:ascii="Times New Roman" w:hAnsi="Times New Roman" w:eastAsia="仿宋" w:cs="Times New Roman"/>
                <w:color w:val="000000"/>
                <w:kern w:val="0"/>
                <w:szCs w:val="21"/>
                <w:lang w:val="en-US" w:eastAsia="zh-CN"/>
              </w:rPr>
            </w:pPr>
            <w:r>
              <w:rPr>
                <w:rFonts w:ascii="Times New Roman" w:hAnsi="Times New Roman" w:eastAsia="仿宋" w:cs="Times New Roman"/>
                <w:color w:val="000000"/>
                <w:kern w:val="0"/>
                <w:szCs w:val="21"/>
              </w:rPr>
              <w:t>0.</w:t>
            </w:r>
            <w:r>
              <w:rPr>
                <w:rFonts w:hint="eastAsia" w:ascii="Times New Roman" w:hAnsi="Times New Roman" w:eastAsia="仿宋" w:cs="Times New Roman"/>
                <w:color w:val="000000"/>
                <w:kern w:val="0"/>
                <w:szCs w:val="21"/>
                <w:lang w:val="en-US" w:eastAsia="zh-CN"/>
              </w:rPr>
              <w:t>7271</w:t>
            </w:r>
          </w:p>
        </w:tc>
      </w:tr>
      <w:tr w14:paraId="2F81985C">
        <w:tblPrEx>
          <w:tblCellMar>
            <w:top w:w="0" w:type="dxa"/>
            <w:left w:w="108" w:type="dxa"/>
            <w:bottom w:w="0" w:type="dxa"/>
            <w:right w:w="108" w:type="dxa"/>
          </w:tblCellMar>
        </w:tblPrEx>
        <w:trPr>
          <w:trHeight w:val="285" w:hRule="atLeast"/>
          <w:jc w:val="center"/>
        </w:trPr>
        <w:tc>
          <w:tcPr>
            <w:tcW w:w="1016" w:type="pct"/>
            <w:vMerge w:val="continue"/>
            <w:tcBorders>
              <w:top w:val="nil"/>
              <w:left w:val="single" w:color="auto" w:sz="4" w:space="0"/>
              <w:bottom w:val="single" w:color="auto" w:sz="4" w:space="0"/>
              <w:right w:val="single" w:color="auto" w:sz="4" w:space="0"/>
            </w:tcBorders>
            <w:vAlign w:val="center"/>
          </w:tcPr>
          <w:p w14:paraId="06517E33">
            <w:pPr>
              <w:widowControl/>
              <w:jc w:val="left"/>
              <w:rPr>
                <w:rFonts w:ascii="Times New Roman" w:hAnsi="Times New Roman" w:eastAsia="仿宋" w:cs="Times New Roman"/>
                <w:color w:val="000000"/>
                <w:kern w:val="0"/>
                <w:szCs w:val="21"/>
              </w:rPr>
            </w:pPr>
          </w:p>
        </w:tc>
        <w:tc>
          <w:tcPr>
            <w:tcW w:w="877" w:type="pct"/>
            <w:vMerge w:val="continue"/>
            <w:tcBorders>
              <w:top w:val="nil"/>
              <w:left w:val="single" w:color="auto" w:sz="4" w:space="0"/>
              <w:bottom w:val="single" w:color="auto" w:sz="4" w:space="0"/>
              <w:right w:val="single" w:color="auto" w:sz="4" w:space="0"/>
            </w:tcBorders>
            <w:vAlign w:val="center"/>
          </w:tcPr>
          <w:p w14:paraId="7F630BF1">
            <w:pPr>
              <w:widowControl/>
              <w:jc w:val="left"/>
              <w:rPr>
                <w:rFonts w:ascii="Times New Roman" w:hAnsi="Times New Roman" w:eastAsia="仿宋" w:cs="Times New Roman"/>
                <w:color w:val="000000"/>
                <w:kern w:val="0"/>
                <w:szCs w:val="21"/>
              </w:rPr>
            </w:pPr>
          </w:p>
        </w:tc>
        <w:tc>
          <w:tcPr>
            <w:tcW w:w="863" w:type="pct"/>
            <w:tcBorders>
              <w:top w:val="nil"/>
              <w:left w:val="nil"/>
              <w:bottom w:val="single" w:color="auto" w:sz="4" w:space="0"/>
              <w:right w:val="single" w:color="auto" w:sz="4" w:space="0"/>
            </w:tcBorders>
            <w:shd w:val="clear" w:color="auto" w:fill="auto"/>
            <w:noWrap/>
            <w:vAlign w:val="center"/>
          </w:tcPr>
          <w:p w14:paraId="15CE1D35">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水田</w:t>
            </w:r>
          </w:p>
        </w:tc>
        <w:tc>
          <w:tcPr>
            <w:tcW w:w="544" w:type="pct"/>
            <w:tcBorders>
              <w:top w:val="nil"/>
              <w:left w:val="nil"/>
              <w:bottom w:val="single" w:color="auto" w:sz="4" w:space="0"/>
              <w:right w:val="single" w:color="auto" w:sz="4" w:space="0"/>
            </w:tcBorders>
            <w:shd w:val="clear" w:color="auto" w:fill="auto"/>
            <w:noWrap/>
            <w:vAlign w:val="center"/>
          </w:tcPr>
          <w:p w14:paraId="1F432916">
            <w:pPr>
              <w:widowControl/>
              <w:jc w:val="center"/>
              <w:rPr>
                <w:rFonts w:hint="default" w:ascii="Times New Roman" w:hAnsi="Times New Roman" w:eastAsia="仿宋" w:cs="Times New Roman"/>
                <w:color w:val="000000"/>
                <w:kern w:val="0"/>
                <w:szCs w:val="21"/>
                <w:lang w:val="en-US" w:eastAsia="zh-CN"/>
              </w:rPr>
            </w:pPr>
            <w:r>
              <w:rPr>
                <w:rFonts w:ascii="Times New Roman" w:hAnsi="Times New Roman" w:eastAsia="仿宋" w:cs="Times New Roman"/>
                <w:color w:val="000000"/>
                <w:kern w:val="0"/>
                <w:szCs w:val="21"/>
              </w:rPr>
              <w:t>0.0</w:t>
            </w:r>
            <w:r>
              <w:rPr>
                <w:rFonts w:hint="eastAsia" w:ascii="Times New Roman" w:hAnsi="Times New Roman" w:eastAsia="仿宋" w:cs="Times New Roman"/>
                <w:color w:val="000000"/>
                <w:kern w:val="0"/>
                <w:szCs w:val="21"/>
                <w:lang w:val="en-US" w:eastAsia="zh-CN"/>
              </w:rPr>
              <w:t>216</w:t>
            </w:r>
          </w:p>
        </w:tc>
        <w:tc>
          <w:tcPr>
            <w:tcW w:w="609" w:type="pct"/>
            <w:vMerge w:val="continue"/>
            <w:tcBorders>
              <w:top w:val="nil"/>
              <w:left w:val="single" w:color="auto" w:sz="4" w:space="0"/>
              <w:bottom w:val="single" w:color="000000" w:sz="4" w:space="0"/>
              <w:right w:val="single" w:color="auto" w:sz="4" w:space="0"/>
            </w:tcBorders>
            <w:vAlign w:val="center"/>
          </w:tcPr>
          <w:p w14:paraId="6E8BF89F">
            <w:pPr>
              <w:widowControl/>
              <w:jc w:val="left"/>
              <w:rPr>
                <w:rFonts w:ascii="Times New Roman" w:hAnsi="Times New Roman" w:eastAsia="仿宋" w:cs="Times New Roman"/>
                <w:color w:val="000000"/>
                <w:kern w:val="0"/>
                <w:szCs w:val="21"/>
              </w:rPr>
            </w:pPr>
          </w:p>
        </w:tc>
        <w:tc>
          <w:tcPr>
            <w:tcW w:w="452" w:type="pct"/>
            <w:vMerge w:val="continue"/>
            <w:tcBorders>
              <w:top w:val="nil"/>
              <w:left w:val="single" w:color="auto" w:sz="4" w:space="0"/>
              <w:bottom w:val="single" w:color="000000" w:sz="4" w:space="0"/>
              <w:right w:val="single" w:color="auto" w:sz="4" w:space="0"/>
            </w:tcBorders>
            <w:vAlign w:val="center"/>
          </w:tcPr>
          <w:p w14:paraId="0ACDDE7B">
            <w:pPr>
              <w:widowControl/>
              <w:jc w:val="left"/>
              <w:rPr>
                <w:rFonts w:ascii="Times New Roman" w:hAnsi="Times New Roman" w:eastAsia="仿宋" w:cs="Times New Roman"/>
                <w:color w:val="000000"/>
                <w:kern w:val="0"/>
                <w:szCs w:val="21"/>
              </w:rPr>
            </w:pPr>
          </w:p>
        </w:tc>
        <w:tc>
          <w:tcPr>
            <w:tcW w:w="636" w:type="pct"/>
            <w:vMerge w:val="continue"/>
            <w:tcBorders>
              <w:top w:val="nil"/>
              <w:left w:val="single" w:color="auto" w:sz="4" w:space="0"/>
              <w:bottom w:val="single" w:color="000000" w:sz="4" w:space="0"/>
              <w:right w:val="single" w:color="auto" w:sz="4" w:space="0"/>
            </w:tcBorders>
            <w:vAlign w:val="center"/>
          </w:tcPr>
          <w:p w14:paraId="16DCCBC2">
            <w:pPr>
              <w:widowControl/>
              <w:jc w:val="left"/>
              <w:rPr>
                <w:rFonts w:ascii="Times New Roman" w:hAnsi="Times New Roman" w:eastAsia="仿宋" w:cs="Times New Roman"/>
                <w:color w:val="000000"/>
                <w:kern w:val="0"/>
                <w:szCs w:val="21"/>
              </w:rPr>
            </w:pPr>
          </w:p>
        </w:tc>
      </w:tr>
      <w:tr w14:paraId="017DBF85">
        <w:tblPrEx>
          <w:tblCellMar>
            <w:top w:w="0" w:type="dxa"/>
            <w:left w:w="108" w:type="dxa"/>
            <w:bottom w:w="0" w:type="dxa"/>
            <w:right w:w="108" w:type="dxa"/>
          </w:tblCellMar>
        </w:tblPrEx>
        <w:trPr>
          <w:trHeight w:val="285" w:hRule="atLeast"/>
          <w:jc w:val="center"/>
        </w:trPr>
        <w:tc>
          <w:tcPr>
            <w:tcW w:w="1016" w:type="pct"/>
            <w:vMerge w:val="continue"/>
            <w:tcBorders>
              <w:top w:val="nil"/>
              <w:left w:val="single" w:color="auto" w:sz="4" w:space="0"/>
              <w:bottom w:val="single" w:color="auto" w:sz="4" w:space="0"/>
              <w:right w:val="single" w:color="auto" w:sz="4" w:space="0"/>
            </w:tcBorders>
            <w:vAlign w:val="center"/>
          </w:tcPr>
          <w:p w14:paraId="19BED4D2">
            <w:pPr>
              <w:widowControl/>
              <w:jc w:val="left"/>
              <w:rPr>
                <w:rFonts w:ascii="Times New Roman" w:hAnsi="Times New Roman" w:eastAsia="仿宋" w:cs="Times New Roman"/>
                <w:color w:val="000000"/>
                <w:kern w:val="0"/>
                <w:szCs w:val="21"/>
              </w:rPr>
            </w:pPr>
          </w:p>
        </w:tc>
        <w:tc>
          <w:tcPr>
            <w:tcW w:w="877" w:type="pct"/>
            <w:tcBorders>
              <w:top w:val="nil"/>
              <w:left w:val="nil"/>
              <w:bottom w:val="single" w:color="auto" w:sz="4" w:space="0"/>
              <w:right w:val="single" w:color="auto" w:sz="4" w:space="0"/>
            </w:tcBorders>
            <w:shd w:val="clear" w:color="auto" w:fill="auto"/>
            <w:noWrap/>
            <w:vAlign w:val="center"/>
          </w:tcPr>
          <w:p w14:paraId="48F73622">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林地</w:t>
            </w:r>
          </w:p>
        </w:tc>
        <w:tc>
          <w:tcPr>
            <w:tcW w:w="863" w:type="pct"/>
            <w:tcBorders>
              <w:top w:val="nil"/>
              <w:left w:val="nil"/>
              <w:bottom w:val="single" w:color="auto" w:sz="4" w:space="0"/>
              <w:right w:val="single" w:color="auto" w:sz="4" w:space="0"/>
            </w:tcBorders>
            <w:shd w:val="clear" w:color="auto" w:fill="auto"/>
            <w:noWrap/>
            <w:vAlign w:val="center"/>
          </w:tcPr>
          <w:p w14:paraId="4EE498E2">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竹林地</w:t>
            </w:r>
          </w:p>
        </w:tc>
        <w:tc>
          <w:tcPr>
            <w:tcW w:w="544" w:type="pct"/>
            <w:tcBorders>
              <w:top w:val="nil"/>
              <w:left w:val="nil"/>
              <w:bottom w:val="single" w:color="auto" w:sz="4" w:space="0"/>
              <w:right w:val="single" w:color="auto" w:sz="4" w:space="0"/>
            </w:tcBorders>
            <w:shd w:val="clear" w:color="auto" w:fill="auto"/>
            <w:noWrap/>
            <w:vAlign w:val="center"/>
          </w:tcPr>
          <w:p w14:paraId="32C9EA79">
            <w:pPr>
              <w:widowControl/>
              <w:jc w:val="center"/>
              <w:rPr>
                <w:rFonts w:hint="default" w:ascii="Times New Roman" w:hAnsi="Times New Roman" w:eastAsia="仿宋" w:cs="Times New Roman"/>
                <w:color w:val="000000"/>
                <w:kern w:val="0"/>
                <w:szCs w:val="21"/>
                <w:lang w:val="en-US" w:eastAsia="zh-CN"/>
              </w:rPr>
            </w:pPr>
            <w:r>
              <w:rPr>
                <w:rFonts w:hint="eastAsia" w:ascii="Times New Roman" w:hAnsi="Times New Roman" w:eastAsia="仿宋" w:cs="Times New Roman"/>
                <w:color w:val="000000"/>
                <w:kern w:val="0"/>
                <w:szCs w:val="21"/>
                <w:lang w:val="en-US" w:eastAsia="zh-CN"/>
              </w:rPr>
              <w:t>0.0092</w:t>
            </w:r>
          </w:p>
        </w:tc>
        <w:tc>
          <w:tcPr>
            <w:tcW w:w="609" w:type="pct"/>
            <w:vMerge w:val="continue"/>
            <w:tcBorders>
              <w:top w:val="nil"/>
              <w:left w:val="single" w:color="auto" w:sz="4" w:space="0"/>
              <w:bottom w:val="single" w:color="000000" w:sz="4" w:space="0"/>
              <w:right w:val="single" w:color="auto" w:sz="4" w:space="0"/>
            </w:tcBorders>
            <w:vAlign w:val="center"/>
          </w:tcPr>
          <w:p w14:paraId="0734EBAB">
            <w:pPr>
              <w:widowControl/>
              <w:jc w:val="left"/>
              <w:rPr>
                <w:rFonts w:ascii="Times New Roman" w:hAnsi="Times New Roman" w:eastAsia="仿宋" w:cs="Times New Roman"/>
                <w:color w:val="000000"/>
                <w:kern w:val="0"/>
                <w:szCs w:val="21"/>
              </w:rPr>
            </w:pPr>
          </w:p>
        </w:tc>
        <w:tc>
          <w:tcPr>
            <w:tcW w:w="452" w:type="pct"/>
            <w:vMerge w:val="continue"/>
            <w:tcBorders>
              <w:top w:val="nil"/>
              <w:left w:val="single" w:color="auto" w:sz="4" w:space="0"/>
              <w:bottom w:val="single" w:color="000000" w:sz="4" w:space="0"/>
              <w:right w:val="single" w:color="auto" w:sz="4" w:space="0"/>
            </w:tcBorders>
            <w:vAlign w:val="center"/>
          </w:tcPr>
          <w:p w14:paraId="1441AC15">
            <w:pPr>
              <w:widowControl/>
              <w:jc w:val="left"/>
              <w:rPr>
                <w:rFonts w:ascii="Times New Roman" w:hAnsi="Times New Roman" w:eastAsia="仿宋" w:cs="Times New Roman"/>
                <w:color w:val="000000"/>
                <w:kern w:val="0"/>
                <w:szCs w:val="21"/>
              </w:rPr>
            </w:pPr>
          </w:p>
        </w:tc>
        <w:tc>
          <w:tcPr>
            <w:tcW w:w="636" w:type="pct"/>
            <w:vMerge w:val="continue"/>
            <w:tcBorders>
              <w:top w:val="nil"/>
              <w:left w:val="single" w:color="auto" w:sz="4" w:space="0"/>
              <w:bottom w:val="single" w:color="000000" w:sz="4" w:space="0"/>
              <w:right w:val="single" w:color="auto" w:sz="4" w:space="0"/>
            </w:tcBorders>
            <w:vAlign w:val="center"/>
          </w:tcPr>
          <w:p w14:paraId="36735482">
            <w:pPr>
              <w:widowControl/>
              <w:jc w:val="left"/>
              <w:rPr>
                <w:rFonts w:ascii="Times New Roman" w:hAnsi="Times New Roman" w:eastAsia="仿宋" w:cs="Times New Roman"/>
                <w:color w:val="000000"/>
                <w:kern w:val="0"/>
                <w:szCs w:val="21"/>
              </w:rPr>
            </w:pPr>
          </w:p>
        </w:tc>
      </w:tr>
      <w:tr w14:paraId="67EBD3F1">
        <w:tblPrEx>
          <w:tblCellMar>
            <w:top w:w="0" w:type="dxa"/>
            <w:left w:w="108" w:type="dxa"/>
            <w:bottom w:w="0" w:type="dxa"/>
            <w:right w:w="108" w:type="dxa"/>
          </w:tblCellMar>
        </w:tblPrEx>
        <w:trPr>
          <w:trHeight w:val="285" w:hRule="atLeast"/>
          <w:jc w:val="center"/>
        </w:trPr>
        <w:tc>
          <w:tcPr>
            <w:tcW w:w="1016" w:type="pct"/>
            <w:vMerge w:val="continue"/>
            <w:tcBorders>
              <w:top w:val="nil"/>
              <w:left w:val="single" w:color="auto" w:sz="4" w:space="0"/>
              <w:bottom w:val="single" w:color="auto" w:sz="4" w:space="0"/>
              <w:right w:val="single" w:color="auto" w:sz="4" w:space="0"/>
            </w:tcBorders>
            <w:vAlign w:val="center"/>
          </w:tcPr>
          <w:p w14:paraId="5028FEF2">
            <w:pPr>
              <w:widowControl/>
              <w:jc w:val="left"/>
              <w:rPr>
                <w:rFonts w:ascii="Times New Roman" w:hAnsi="Times New Roman" w:eastAsia="仿宋" w:cs="Times New Roman"/>
                <w:color w:val="000000"/>
                <w:kern w:val="0"/>
                <w:szCs w:val="21"/>
              </w:rPr>
            </w:pPr>
          </w:p>
        </w:tc>
        <w:tc>
          <w:tcPr>
            <w:tcW w:w="877" w:type="pct"/>
            <w:tcBorders>
              <w:top w:val="nil"/>
              <w:left w:val="nil"/>
              <w:bottom w:val="single" w:color="auto" w:sz="4" w:space="0"/>
              <w:right w:val="single" w:color="auto" w:sz="4" w:space="0"/>
            </w:tcBorders>
            <w:shd w:val="clear" w:color="auto" w:fill="auto"/>
            <w:noWrap/>
            <w:vAlign w:val="center"/>
          </w:tcPr>
          <w:p w14:paraId="4FC97B82">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居住用地</w:t>
            </w:r>
          </w:p>
        </w:tc>
        <w:tc>
          <w:tcPr>
            <w:tcW w:w="863" w:type="pct"/>
            <w:tcBorders>
              <w:top w:val="nil"/>
              <w:left w:val="nil"/>
              <w:bottom w:val="single" w:color="auto" w:sz="4" w:space="0"/>
              <w:right w:val="single" w:color="auto" w:sz="4" w:space="0"/>
            </w:tcBorders>
            <w:shd w:val="clear" w:color="auto" w:fill="auto"/>
            <w:noWrap/>
            <w:vAlign w:val="center"/>
          </w:tcPr>
          <w:p w14:paraId="7F93F740">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农村宅基地</w:t>
            </w:r>
          </w:p>
        </w:tc>
        <w:tc>
          <w:tcPr>
            <w:tcW w:w="544" w:type="pct"/>
            <w:tcBorders>
              <w:top w:val="nil"/>
              <w:left w:val="nil"/>
              <w:bottom w:val="single" w:color="auto" w:sz="4" w:space="0"/>
              <w:right w:val="single" w:color="auto" w:sz="4" w:space="0"/>
            </w:tcBorders>
            <w:shd w:val="clear" w:color="auto" w:fill="auto"/>
            <w:noWrap/>
            <w:vAlign w:val="center"/>
          </w:tcPr>
          <w:p w14:paraId="6A8147F6">
            <w:pPr>
              <w:widowControl/>
              <w:jc w:val="center"/>
              <w:rPr>
                <w:rFonts w:hint="default" w:ascii="Times New Roman" w:hAnsi="Times New Roman" w:eastAsia="仿宋" w:cs="Times New Roman"/>
                <w:color w:val="000000"/>
                <w:kern w:val="0"/>
                <w:szCs w:val="21"/>
                <w:lang w:val="en-US" w:eastAsia="zh-CN"/>
              </w:rPr>
            </w:pPr>
            <w:r>
              <w:rPr>
                <w:rFonts w:ascii="Times New Roman" w:hAnsi="Times New Roman" w:eastAsia="仿宋" w:cs="Times New Roman"/>
                <w:color w:val="000000"/>
                <w:kern w:val="0"/>
                <w:szCs w:val="21"/>
              </w:rPr>
              <w:t>0.</w:t>
            </w:r>
            <w:r>
              <w:rPr>
                <w:rFonts w:hint="eastAsia" w:ascii="Times New Roman" w:hAnsi="Times New Roman" w:eastAsia="仿宋" w:cs="Times New Roman"/>
                <w:color w:val="000000"/>
                <w:kern w:val="0"/>
                <w:szCs w:val="21"/>
                <w:lang w:val="en-US" w:eastAsia="zh-CN"/>
              </w:rPr>
              <w:t>0452</w:t>
            </w:r>
          </w:p>
        </w:tc>
        <w:tc>
          <w:tcPr>
            <w:tcW w:w="609" w:type="pct"/>
            <w:vMerge w:val="continue"/>
            <w:tcBorders>
              <w:top w:val="nil"/>
              <w:left w:val="single" w:color="auto" w:sz="4" w:space="0"/>
              <w:bottom w:val="single" w:color="000000" w:sz="4" w:space="0"/>
              <w:right w:val="single" w:color="auto" w:sz="4" w:space="0"/>
            </w:tcBorders>
            <w:vAlign w:val="center"/>
          </w:tcPr>
          <w:p w14:paraId="7CB28FFD">
            <w:pPr>
              <w:widowControl/>
              <w:jc w:val="left"/>
              <w:rPr>
                <w:rFonts w:ascii="Times New Roman" w:hAnsi="Times New Roman" w:eastAsia="仿宋" w:cs="Times New Roman"/>
                <w:color w:val="000000"/>
                <w:kern w:val="0"/>
                <w:szCs w:val="21"/>
              </w:rPr>
            </w:pPr>
          </w:p>
        </w:tc>
        <w:tc>
          <w:tcPr>
            <w:tcW w:w="452" w:type="pct"/>
            <w:vMerge w:val="continue"/>
            <w:tcBorders>
              <w:top w:val="nil"/>
              <w:left w:val="single" w:color="auto" w:sz="4" w:space="0"/>
              <w:bottom w:val="single" w:color="000000" w:sz="4" w:space="0"/>
              <w:right w:val="single" w:color="auto" w:sz="4" w:space="0"/>
            </w:tcBorders>
            <w:vAlign w:val="center"/>
          </w:tcPr>
          <w:p w14:paraId="694AE521">
            <w:pPr>
              <w:widowControl/>
              <w:jc w:val="left"/>
              <w:rPr>
                <w:rFonts w:ascii="Times New Roman" w:hAnsi="Times New Roman" w:eastAsia="仿宋" w:cs="Times New Roman"/>
                <w:color w:val="000000"/>
                <w:kern w:val="0"/>
                <w:szCs w:val="21"/>
              </w:rPr>
            </w:pPr>
          </w:p>
        </w:tc>
        <w:tc>
          <w:tcPr>
            <w:tcW w:w="636" w:type="pct"/>
            <w:vMerge w:val="continue"/>
            <w:tcBorders>
              <w:top w:val="nil"/>
              <w:left w:val="single" w:color="auto" w:sz="4" w:space="0"/>
              <w:bottom w:val="single" w:color="000000" w:sz="4" w:space="0"/>
              <w:right w:val="single" w:color="auto" w:sz="4" w:space="0"/>
            </w:tcBorders>
            <w:vAlign w:val="center"/>
          </w:tcPr>
          <w:p w14:paraId="7945055E">
            <w:pPr>
              <w:widowControl/>
              <w:jc w:val="left"/>
              <w:rPr>
                <w:rFonts w:ascii="Times New Roman" w:hAnsi="Times New Roman" w:eastAsia="仿宋" w:cs="Times New Roman"/>
                <w:color w:val="000000"/>
                <w:kern w:val="0"/>
                <w:szCs w:val="21"/>
              </w:rPr>
            </w:pPr>
          </w:p>
        </w:tc>
      </w:tr>
      <w:tr w14:paraId="02E8B664">
        <w:tblPrEx>
          <w:tblCellMar>
            <w:top w:w="0" w:type="dxa"/>
            <w:left w:w="108" w:type="dxa"/>
            <w:bottom w:w="0" w:type="dxa"/>
            <w:right w:w="108" w:type="dxa"/>
          </w:tblCellMar>
        </w:tblPrEx>
        <w:trPr>
          <w:trHeight w:val="285" w:hRule="atLeast"/>
          <w:jc w:val="center"/>
        </w:trPr>
        <w:tc>
          <w:tcPr>
            <w:tcW w:w="1016" w:type="pct"/>
            <w:vMerge w:val="continue"/>
            <w:tcBorders>
              <w:top w:val="nil"/>
              <w:left w:val="single" w:color="auto" w:sz="4" w:space="0"/>
              <w:bottom w:val="single" w:color="auto" w:sz="4" w:space="0"/>
              <w:right w:val="single" w:color="auto" w:sz="4" w:space="0"/>
            </w:tcBorders>
            <w:vAlign w:val="center"/>
          </w:tcPr>
          <w:p w14:paraId="5D2EBADC">
            <w:pPr>
              <w:widowControl/>
              <w:jc w:val="left"/>
              <w:rPr>
                <w:rFonts w:ascii="Times New Roman" w:hAnsi="Times New Roman" w:eastAsia="仿宋" w:cs="Times New Roman"/>
                <w:color w:val="000000"/>
                <w:kern w:val="0"/>
                <w:szCs w:val="21"/>
              </w:rPr>
            </w:pPr>
          </w:p>
        </w:tc>
        <w:tc>
          <w:tcPr>
            <w:tcW w:w="877" w:type="pct"/>
            <w:tcBorders>
              <w:top w:val="nil"/>
              <w:left w:val="nil"/>
              <w:bottom w:val="single" w:color="auto" w:sz="4" w:space="0"/>
              <w:right w:val="single" w:color="auto" w:sz="4" w:space="0"/>
            </w:tcBorders>
            <w:shd w:val="clear" w:color="auto" w:fill="auto"/>
            <w:noWrap/>
            <w:vAlign w:val="center"/>
          </w:tcPr>
          <w:p w14:paraId="64C382DB">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公用设施用地</w:t>
            </w:r>
          </w:p>
        </w:tc>
        <w:tc>
          <w:tcPr>
            <w:tcW w:w="863" w:type="pct"/>
            <w:tcBorders>
              <w:top w:val="nil"/>
              <w:left w:val="nil"/>
              <w:bottom w:val="single" w:color="auto" w:sz="4" w:space="0"/>
              <w:right w:val="single" w:color="auto" w:sz="4" w:space="0"/>
            </w:tcBorders>
            <w:shd w:val="clear" w:color="auto" w:fill="auto"/>
            <w:noWrap/>
            <w:vAlign w:val="center"/>
          </w:tcPr>
          <w:p w14:paraId="3B7FEBD8">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供水用地</w:t>
            </w:r>
          </w:p>
        </w:tc>
        <w:tc>
          <w:tcPr>
            <w:tcW w:w="544" w:type="pct"/>
            <w:tcBorders>
              <w:top w:val="nil"/>
              <w:left w:val="nil"/>
              <w:bottom w:val="single" w:color="auto" w:sz="4" w:space="0"/>
              <w:right w:val="single" w:color="auto" w:sz="4" w:space="0"/>
            </w:tcBorders>
            <w:shd w:val="clear" w:color="auto" w:fill="auto"/>
            <w:noWrap/>
            <w:vAlign w:val="center"/>
          </w:tcPr>
          <w:p w14:paraId="3587809B">
            <w:pPr>
              <w:widowControl/>
              <w:jc w:val="center"/>
              <w:rPr>
                <w:rFonts w:hint="default" w:ascii="Times New Roman" w:hAnsi="Times New Roman" w:eastAsia="仿宋" w:cs="Times New Roman"/>
                <w:color w:val="000000"/>
                <w:kern w:val="0"/>
                <w:szCs w:val="21"/>
                <w:lang w:val="en-US" w:eastAsia="zh-CN"/>
              </w:rPr>
            </w:pPr>
            <w:r>
              <w:rPr>
                <w:rFonts w:ascii="Times New Roman" w:hAnsi="Times New Roman" w:eastAsia="仿宋" w:cs="Times New Roman"/>
                <w:color w:val="000000"/>
                <w:kern w:val="0"/>
                <w:szCs w:val="21"/>
              </w:rPr>
              <w:t>0.6</w:t>
            </w:r>
            <w:r>
              <w:rPr>
                <w:rFonts w:hint="eastAsia" w:ascii="Times New Roman" w:hAnsi="Times New Roman" w:eastAsia="仿宋" w:cs="Times New Roman"/>
                <w:color w:val="000000"/>
                <w:kern w:val="0"/>
                <w:szCs w:val="21"/>
                <w:lang w:val="en-US" w:eastAsia="zh-CN"/>
              </w:rPr>
              <w:t>285</w:t>
            </w:r>
          </w:p>
        </w:tc>
        <w:tc>
          <w:tcPr>
            <w:tcW w:w="609" w:type="pct"/>
            <w:vMerge w:val="continue"/>
            <w:tcBorders>
              <w:top w:val="nil"/>
              <w:left w:val="single" w:color="auto" w:sz="4" w:space="0"/>
              <w:bottom w:val="single" w:color="000000" w:sz="4" w:space="0"/>
              <w:right w:val="single" w:color="auto" w:sz="4" w:space="0"/>
            </w:tcBorders>
            <w:vAlign w:val="center"/>
          </w:tcPr>
          <w:p w14:paraId="2A5D8A8F">
            <w:pPr>
              <w:widowControl/>
              <w:jc w:val="left"/>
              <w:rPr>
                <w:rFonts w:ascii="Times New Roman" w:hAnsi="Times New Roman" w:eastAsia="仿宋" w:cs="Times New Roman"/>
                <w:color w:val="000000"/>
                <w:kern w:val="0"/>
                <w:szCs w:val="21"/>
              </w:rPr>
            </w:pPr>
          </w:p>
        </w:tc>
        <w:tc>
          <w:tcPr>
            <w:tcW w:w="452" w:type="pct"/>
            <w:vMerge w:val="continue"/>
            <w:tcBorders>
              <w:top w:val="nil"/>
              <w:left w:val="single" w:color="auto" w:sz="4" w:space="0"/>
              <w:bottom w:val="single" w:color="000000" w:sz="4" w:space="0"/>
              <w:right w:val="single" w:color="auto" w:sz="4" w:space="0"/>
            </w:tcBorders>
            <w:vAlign w:val="center"/>
          </w:tcPr>
          <w:p w14:paraId="61995807">
            <w:pPr>
              <w:widowControl/>
              <w:jc w:val="left"/>
              <w:rPr>
                <w:rFonts w:ascii="Times New Roman" w:hAnsi="Times New Roman" w:eastAsia="仿宋" w:cs="Times New Roman"/>
                <w:color w:val="000000"/>
                <w:kern w:val="0"/>
                <w:szCs w:val="21"/>
              </w:rPr>
            </w:pPr>
          </w:p>
        </w:tc>
        <w:tc>
          <w:tcPr>
            <w:tcW w:w="636" w:type="pct"/>
            <w:vMerge w:val="continue"/>
            <w:tcBorders>
              <w:top w:val="nil"/>
              <w:left w:val="single" w:color="auto" w:sz="4" w:space="0"/>
              <w:bottom w:val="single" w:color="000000" w:sz="4" w:space="0"/>
              <w:right w:val="single" w:color="auto" w:sz="4" w:space="0"/>
            </w:tcBorders>
            <w:vAlign w:val="center"/>
          </w:tcPr>
          <w:p w14:paraId="52D2FAB4">
            <w:pPr>
              <w:widowControl/>
              <w:jc w:val="left"/>
              <w:rPr>
                <w:rFonts w:ascii="Times New Roman" w:hAnsi="Times New Roman" w:eastAsia="仿宋" w:cs="Times New Roman"/>
                <w:color w:val="000000"/>
                <w:kern w:val="0"/>
                <w:szCs w:val="21"/>
              </w:rPr>
            </w:pPr>
          </w:p>
        </w:tc>
      </w:tr>
      <w:tr w14:paraId="42034283">
        <w:tblPrEx>
          <w:tblCellMar>
            <w:top w:w="0" w:type="dxa"/>
            <w:left w:w="108" w:type="dxa"/>
            <w:bottom w:w="0" w:type="dxa"/>
            <w:right w:w="108" w:type="dxa"/>
          </w:tblCellMar>
        </w:tblPrEx>
        <w:trPr>
          <w:trHeight w:val="285" w:hRule="atLeast"/>
          <w:jc w:val="center"/>
        </w:trPr>
        <w:tc>
          <w:tcPr>
            <w:tcW w:w="1016" w:type="pct"/>
            <w:vMerge w:val="continue"/>
            <w:tcBorders>
              <w:top w:val="nil"/>
              <w:left w:val="single" w:color="auto" w:sz="4" w:space="0"/>
              <w:bottom w:val="single" w:color="auto" w:sz="4" w:space="0"/>
              <w:right w:val="single" w:color="auto" w:sz="4" w:space="0"/>
            </w:tcBorders>
            <w:vAlign w:val="center"/>
          </w:tcPr>
          <w:p w14:paraId="5DDCBF4E">
            <w:pPr>
              <w:widowControl/>
              <w:jc w:val="left"/>
              <w:rPr>
                <w:rFonts w:ascii="Times New Roman" w:hAnsi="Times New Roman" w:eastAsia="仿宋" w:cs="Times New Roman"/>
                <w:color w:val="000000"/>
                <w:kern w:val="0"/>
                <w:szCs w:val="21"/>
              </w:rPr>
            </w:pPr>
          </w:p>
        </w:tc>
        <w:tc>
          <w:tcPr>
            <w:tcW w:w="877" w:type="pct"/>
            <w:tcBorders>
              <w:top w:val="nil"/>
              <w:left w:val="nil"/>
              <w:bottom w:val="single" w:color="auto" w:sz="4" w:space="0"/>
              <w:right w:val="single" w:color="auto" w:sz="4" w:space="0"/>
            </w:tcBorders>
            <w:shd w:val="clear" w:color="auto" w:fill="auto"/>
            <w:noWrap/>
            <w:vAlign w:val="center"/>
          </w:tcPr>
          <w:p w14:paraId="737C9029">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其他土地</w:t>
            </w:r>
          </w:p>
        </w:tc>
        <w:tc>
          <w:tcPr>
            <w:tcW w:w="863" w:type="pct"/>
            <w:tcBorders>
              <w:top w:val="nil"/>
              <w:left w:val="nil"/>
              <w:bottom w:val="single" w:color="auto" w:sz="4" w:space="0"/>
              <w:right w:val="single" w:color="auto" w:sz="4" w:space="0"/>
            </w:tcBorders>
            <w:shd w:val="clear" w:color="auto" w:fill="auto"/>
            <w:noWrap/>
            <w:vAlign w:val="center"/>
          </w:tcPr>
          <w:p w14:paraId="0CB36331">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田坎</w:t>
            </w:r>
          </w:p>
        </w:tc>
        <w:tc>
          <w:tcPr>
            <w:tcW w:w="544" w:type="pct"/>
            <w:tcBorders>
              <w:top w:val="nil"/>
              <w:left w:val="nil"/>
              <w:bottom w:val="single" w:color="auto" w:sz="4" w:space="0"/>
              <w:right w:val="single" w:color="auto" w:sz="4" w:space="0"/>
            </w:tcBorders>
            <w:shd w:val="clear" w:color="auto" w:fill="auto"/>
            <w:noWrap/>
            <w:vAlign w:val="center"/>
          </w:tcPr>
          <w:p w14:paraId="58F110A9">
            <w:pPr>
              <w:widowControl/>
              <w:jc w:val="center"/>
              <w:rPr>
                <w:rFonts w:hint="default" w:ascii="Times New Roman" w:hAnsi="Times New Roman" w:eastAsia="仿宋" w:cs="Times New Roman"/>
                <w:color w:val="000000"/>
                <w:kern w:val="0"/>
                <w:szCs w:val="21"/>
                <w:lang w:val="en-US" w:eastAsia="zh-CN"/>
              </w:rPr>
            </w:pPr>
            <w:r>
              <w:rPr>
                <w:rFonts w:ascii="Times New Roman" w:hAnsi="Times New Roman" w:eastAsia="仿宋" w:cs="Times New Roman"/>
                <w:color w:val="000000"/>
                <w:kern w:val="0"/>
                <w:szCs w:val="21"/>
              </w:rPr>
              <w:t>0.00</w:t>
            </w:r>
            <w:r>
              <w:rPr>
                <w:rFonts w:hint="eastAsia" w:ascii="Times New Roman" w:hAnsi="Times New Roman" w:eastAsia="仿宋" w:cs="Times New Roman"/>
                <w:color w:val="000000"/>
                <w:kern w:val="0"/>
                <w:szCs w:val="21"/>
                <w:lang w:val="en-US" w:eastAsia="zh-CN"/>
              </w:rPr>
              <w:t>62</w:t>
            </w:r>
          </w:p>
        </w:tc>
        <w:tc>
          <w:tcPr>
            <w:tcW w:w="609" w:type="pct"/>
            <w:vMerge w:val="continue"/>
            <w:tcBorders>
              <w:top w:val="nil"/>
              <w:left w:val="single" w:color="auto" w:sz="4" w:space="0"/>
              <w:bottom w:val="single" w:color="000000" w:sz="4" w:space="0"/>
              <w:right w:val="single" w:color="auto" w:sz="4" w:space="0"/>
            </w:tcBorders>
            <w:vAlign w:val="center"/>
          </w:tcPr>
          <w:p w14:paraId="331916A3">
            <w:pPr>
              <w:widowControl/>
              <w:jc w:val="left"/>
              <w:rPr>
                <w:rFonts w:ascii="Times New Roman" w:hAnsi="Times New Roman" w:eastAsia="仿宋" w:cs="Times New Roman"/>
                <w:color w:val="000000"/>
                <w:kern w:val="0"/>
                <w:szCs w:val="21"/>
              </w:rPr>
            </w:pPr>
          </w:p>
        </w:tc>
        <w:tc>
          <w:tcPr>
            <w:tcW w:w="452" w:type="pct"/>
            <w:vMerge w:val="continue"/>
            <w:tcBorders>
              <w:top w:val="nil"/>
              <w:left w:val="single" w:color="auto" w:sz="4" w:space="0"/>
              <w:bottom w:val="single" w:color="000000" w:sz="4" w:space="0"/>
              <w:right w:val="single" w:color="auto" w:sz="4" w:space="0"/>
            </w:tcBorders>
            <w:vAlign w:val="center"/>
          </w:tcPr>
          <w:p w14:paraId="64862CA0">
            <w:pPr>
              <w:widowControl/>
              <w:jc w:val="left"/>
              <w:rPr>
                <w:rFonts w:ascii="Times New Roman" w:hAnsi="Times New Roman" w:eastAsia="仿宋" w:cs="Times New Roman"/>
                <w:color w:val="000000"/>
                <w:kern w:val="0"/>
                <w:szCs w:val="21"/>
              </w:rPr>
            </w:pPr>
          </w:p>
        </w:tc>
        <w:tc>
          <w:tcPr>
            <w:tcW w:w="636" w:type="pct"/>
            <w:vMerge w:val="continue"/>
            <w:tcBorders>
              <w:top w:val="nil"/>
              <w:left w:val="single" w:color="auto" w:sz="4" w:space="0"/>
              <w:bottom w:val="single" w:color="000000" w:sz="4" w:space="0"/>
              <w:right w:val="single" w:color="auto" w:sz="4" w:space="0"/>
            </w:tcBorders>
            <w:vAlign w:val="center"/>
          </w:tcPr>
          <w:p w14:paraId="0A6AE5EC">
            <w:pPr>
              <w:widowControl/>
              <w:jc w:val="left"/>
              <w:rPr>
                <w:rFonts w:ascii="Times New Roman" w:hAnsi="Times New Roman" w:eastAsia="仿宋" w:cs="Times New Roman"/>
                <w:color w:val="000000"/>
                <w:kern w:val="0"/>
                <w:szCs w:val="21"/>
              </w:rPr>
            </w:pPr>
          </w:p>
        </w:tc>
      </w:tr>
      <w:tr w14:paraId="222E8F94">
        <w:tblPrEx>
          <w:tblCellMar>
            <w:top w:w="0" w:type="dxa"/>
            <w:left w:w="108" w:type="dxa"/>
            <w:bottom w:w="0" w:type="dxa"/>
            <w:right w:w="108" w:type="dxa"/>
          </w:tblCellMar>
        </w:tblPrEx>
        <w:trPr>
          <w:trHeight w:val="285" w:hRule="atLeast"/>
          <w:jc w:val="center"/>
        </w:trPr>
        <w:tc>
          <w:tcPr>
            <w:tcW w:w="1016" w:type="pct"/>
            <w:tcBorders>
              <w:top w:val="nil"/>
              <w:left w:val="single" w:color="auto" w:sz="4" w:space="0"/>
              <w:bottom w:val="single" w:color="auto" w:sz="4" w:space="0"/>
              <w:right w:val="single" w:color="auto" w:sz="4" w:space="0"/>
            </w:tcBorders>
            <w:shd w:val="clear" w:color="auto" w:fill="auto"/>
            <w:noWrap/>
            <w:vAlign w:val="center"/>
          </w:tcPr>
          <w:p w14:paraId="121B62C6">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平衡地块</w:t>
            </w:r>
          </w:p>
        </w:tc>
        <w:tc>
          <w:tcPr>
            <w:tcW w:w="877" w:type="pct"/>
            <w:tcBorders>
              <w:top w:val="nil"/>
              <w:left w:val="nil"/>
              <w:bottom w:val="single" w:color="auto" w:sz="4" w:space="0"/>
              <w:right w:val="single" w:color="auto" w:sz="4" w:space="0"/>
            </w:tcBorders>
            <w:shd w:val="clear" w:color="auto" w:fill="auto"/>
            <w:noWrap/>
            <w:vAlign w:val="center"/>
          </w:tcPr>
          <w:p w14:paraId="3FA90ED6">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w:t>
            </w:r>
          </w:p>
        </w:tc>
        <w:tc>
          <w:tcPr>
            <w:tcW w:w="863" w:type="pct"/>
            <w:tcBorders>
              <w:top w:val="nil"/>
              <w:left w:val="nil"/>
              <w:bottom w:val="single" w:color="auto" w:sz="4" w:space="0"/>
              <w:right w:val="single" w:color="auto" w:sz="4" w:space="0"/>
            </w:tcBorders>
            <w:shd w:val="clear" w:color="auto" w:fill="auto"/>
            <w:noWrap/>
            <w:vAlign w:val="center"/>
          </w:tcPr>
          <w:p w14:paraId="53AAF777">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w:t>
            </w:r>
          </w:p>
        </w:tc>
        <w:tc>
          <w:tcPr>
            <w:tcW w:w="544" w:type="pct"/>
            <w:tcBorders>
              <w:top w:val="nil"/>
              <w:left w:val="nil"/>
              <w:bottom w:val="single" w:color="auto" w:sz="4" w:space="0"/>
              <w:right w:val="single" w:color="auto" w:sz="4" w:space="0"/>
            </w:tcBorders>
            <w:shd w:val="clear" w:color="auto" w:fill="auto"/>
            <w:noWrap/>
            <w:vAlign w:val="center"/>
          </w:tcPr>
          <w:p w14:paraId="60E47442">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w:t>
            </w:r>
          </w:p>
        </w:tc>
        <w:tc>
          <w:tcPr>
            <w:tcW w:w="609" w:type="pct"/>
            <w:tcBorders>
              <w:top w:val="nil"/>
              <w:left w:val="nil"/>
              <w:bottom w:val="single" w:color="auto" w:sz="4" w:space="0"/>
              <w:right w:val="single" w:color="auto" w:sz="4" w:space="0"/>
            </w:tcBorders>
            <w:shd w:val="clear" w:color="auto" w:fill="auto"/>
            <w:noWrap/>
            <w:vAlign w:val="center"/>
          </w:tcPr>
          <w:p w14:paraId="374CF4A0">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w:t>
            </w:r>
          </w:p>
        </w:tc>
        <w:tc>
          <w:tcPr>
            <w:tcW w:w="452" w:type="pct"/>
            <w:tcBorders>
              <w:top w:val="nil"/>
              <w:left w:val="nil"/>
              <w:bottom w:val="single" w:color="auto" w:sz="4" w:space="0"/>
              <w:right w:val="single" w:color="auto" w:sz="4" w:space="0"/>
            </w:tcBorders>
            <w:shd w:val="clear" w:color="auto" w:fill="auto"/>
            <w:noWrap/>
            <w:vAlign w:val="center"/>
          </w:tcPr>
          <w:p w14:paraId="1E516024">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w:t>
            </w:r>
          </w:p>
        </w:tc>
        <w:tc>
          <w:tcPr>
            <w:tcW w:w="636" w:type="pct"/>
            <w:tcBorders>
              <w:top w:val="nil"/>
              <w:left w:val="nil"/>
              <w:bottom w:val="single" w:color="auto" w:sz="4" w:space="0"/>
              <w:right w:val="single" w:color="auto" w:sz="4" w:space="0"/>
            </w:tcBorders>
            <w:shd w:val="clear" w:color="auto" w:fill="auto"/>
            <w:noWrap/>
            <w:vAlign w:val="center"/>
          </w:tcPr>
          <w:p w14:paraId="32E1F987">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w:t>
            </w:r>
          </w:p>
        </w:tc>
      </w:tr>
    </w:tbl>
    <w:p w14:paraId="13C7CE8D">
      <w:pPr>
        <w:pStyle w:val="2"/>
        <w:ind w:left="420"/>
      </w:pPr>
    </w:p>
    <w:p w14:paraId="3E9A88D9">
      <w:pPr>
        <w:pStyle w:val="5"/>
        <w:rPr>
          <w:rFonts w:ascii="黑体" w:hAnsi="黑体" w:eastAsia="黑体"/>
          <w:sz w:val="30"/>
          <w:szCs w:val="30"/>
        </w:rPr>
      </w:pPr>
      <w:bookmarkStart w:id="17" w:name="_Toc177049533"/>
      <w:r>
        <w:rPr>
          <w:rFonts w:hint="eastAsia" w:ascii="黑体" w:hAnsi="黑体" w:eastAsia="黑体"/>
          <w:sz w:val="30"/>
          <w:szCs w:val="30"/>
        </w:rPr>
        <w:t>2、与主要规划指标情况</w:t>
      </w:r>
      <w:bookmarkEnd w:id="17"/>
    </w:p>
    <w:p w14:paraId="7CA05E1B">
      <w:pPr>
        <w:ind w:firstLine="560" w:firstLineChars="200"/>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2.1 永久基本农田</w:t>
      </w:r>
    </w:p>
    <w:p w14:paraId="5296A269">
      <w:pPr>
        <w:pStyle w:val="2"/>
        <w:ind w:left="0" w:leftChars="0" w:firstLine="539"/>
        <w:jc w:val="left"/>
        <w:rPr>
          <w:rFonts w:eastAsia="仿宋" w:cs="Times New Roman"/>
          <w:spacing w:val="0"/>
          <w:kern w:val="0"/>
          <w:sz w:val="28"/>
          <w:szCs w:val="28"/>
        </w:rPr>
      </w:pPr>
      <w:r>
        <w:rPr>
          <w:rFonts w:hint="eastAsia" w:eastAsia="仿宋" w:cs="Times New Roman"/>
          <w:spacing w:val="0"/>
          <w:kern w:val="0"/>
          <w:sz w:val="28"/>
          <w:szCs w:val="28"/>
        </w:rPr>
        <w:t>盘龙镇三合村永久基本农田规模272.97公顷，盘龙镇昌州村永久基本农田规模431.47公顷。本次项目式村规划两项目，均不涉及永久基本农田，未突破永久基本农田管控指标。</w:t>
      </w:r>
    </w:p>
    <w:p w14:paraId="14F0227D">
      <w:pPr>
        <w:pStyle w:val="2"/>
        <w:ind w:left="0" w:leftChars="0" w:firstLine="539"/>
        <w:jc w:val="left"/>
        <w:rPr>
          <w:rFonts w:eastAsia="仿宋" w:cs="Times New Roman"/>
          <w:spacing w:val="0"/>
          <w:kern w:val="0"/>
          <w:sz w:val="28"/>
          <w:szCs w:val="28"/>
        </w:rPr>
      </w:pPr>
      <w:r>
        <w:rPr>
          <w:rFonts w:hint="eastAsia" w:eastAsia="仿宋" w:cs="Times New Roman"/>
          <w:spacing w:val="0"/>
          <w:kern w:val="0"/>
          <w:sz w:val="28"/>
          <w:szCs w:val="28"/>
        </w:rPr>
        <w:t>2.2生态保护红线</w:t>
      </w:r>
    </w:p>
    <w:p w14:paraId="376A0207">
      <w:pPr>
        <w:pStyle w:val="2"/>
        <w:ind w:left="0" w:leftChars="0" w:firstLine="539"/>
        <w:jc w:val="left"/>
        <w:rPr>
          <w:rFonts w:hint="eastAsia" w:eastAsia="仿宋" w:cs="Times New Roman"/>
          <w:spacing w:val="0"/>
          <w:kern w:val="0"/>
          <w:sz w:val="28"/>
          <w:szCs w:val="28"/>
        </w:rPr>
      </w:pPr>
      <w:r>
        <w:rPr>
          <w:rFonts w:hint="eastAsia" w:eastAsia="仿宋" w:cs="Times New Roman"/>
          <w:spacing w:val="0"/>
          <w:kern w:val="0"/>
          <w:sz w:val="28"/>
          <w:szCs w:val="28"/>
        </w:rPr>
        <w:t>盘龙镇三合村和昌州村不涉及生态保护红线，未突破生态保护红线管控指标。</w:t>
      </w:r>
    </w:p>
    <w:p w14:paraId="1FF12362">
      <w:pPr>
        <w:pStyle w:val="2"/>
        <w:ind w:left="0" w:leftChars="0" w:firstLine="539"/>
        <w:jc w:val="left"/>
        <w:rPr>
          <w:rFonts w:hint="eastAsia" w:eastAsia="仿宋" w:cs="Times New Roman"/>
          <w:spacing w:val="0"/>
          <w:kern w:val="0"/>
          <w:sz w:val="28"/>
          <w:szCs w:val="28"/>
        </w:rPr>
      </w:pPr>
      <w:r>
        <w:rPr>
          <w:rFonts w:hint="eastAsia" w:eastAsia="仿宋" w:cs="Times New Roman"/>
          <w:spacing w:val="0"/>
          <w:kern w:val="0"/>
          <w:sz w:val="28"/>
          <w:szCs w:val="28"/>
        </w:rPr>
        <w:t>2.3 耕地保有量</w:t>
      </w:r>
    </w:p>
    <w:p w14:paraId="19516A96">
      <w:pPr>
        <w:pStyle w:val="2"/>
        <w:ind w:left="0" w:leftChars="0" w:firstLine="539"/>
        <w:jc w:val="left"/>
        <w:rPr>
          <w:rFonts w:eastAsia="仿宋" w:cs="Times New Roman"/>
          <w:spacing w:val="0"/>
          <w:kern w:val="0"/>
          <w:sz w:val="28"/>
          <w:szCs w:val="28"/>
        </w:rPr>
      </w:pPr>
      <w:r>
        <w:rPr>
          <w:rFonts w:hint="eastAsia" w:eastAsia="仿宋" w:cs="Times New Roman"/>
          <w:spacing w:val="0"/>
          <w:kern w:val="0"/>
          <w:sz w:val="28"/>
          <w:szCs w:val="28"/>
        </w:rPr>
        <w:t>至规划期末，三合村耕地保有量规模为308.93公顷，昌州村耕地保有量规模为445.38公顷，项目落实后，未突破三合村和昌州村耕地保护目标。</w:t>
      </w:r>
    </w:p>
    <w:p w14:paraId="50F483B1">
      <w:pPr>
        <w:ind w:firstLine="560" w:firstLineChars="200"/>
        <w:rPr>
          <w:rFonts w:ascii="Times New Roman" w:hAnsi="Times New Roman" w:eastAsia="仿宋" w:cs="Times New Roman"/>
          <w:kern w:val="0"/>
          <w:sz w:val="28"/>
          <w:szCs w:val="28"/>
        </w:rPr>
      </w:pPr>
      <w:r>
        <w:rPr>
          <w:rFonts w:hint="eastAsia" w:ascii="Times New Roman" w:hAnsi="Times New Roman" w:eastAsia="仿宋" w:cs="Times New Roman"/>
          <w:kern w:val="0"/>
          <w:sz w:val="28"/>
          <w:szCs w:val="28"/>
        </w:rPr>
        <w:t>2.4 村庄用地规模</w:t>
      </w:r>
    </w:p>
    <w:p w14:paraId="4F6D1124">
      <w:pPr>
        <w:ind w:firstLine="560" w:firstLineChars="200"/>
        <w:rPr>
          <w:rFonts w:ascii="Times New Roman" w:hAnsi="Times New Roman" w:eastAsia="仿宋" w:cs="Times New Roman"/>
          <w:kern w:val="0"/>
          <w:sz w:val="28"/>
          <w:szCs w:val="28"/>
        </w:rPr>
      </w:pPr>
      <w:r>
        <w:rPr>
          <w:rFonts w:ascii="Times New Roman" w:hAnsi="Times New Roman" w:eastAsia="仿宋" w:cs="Times New Roman"/>
          <w:kern w:val="0"/>
          <w:sz w:val="28"/>
          <w:szCs w:val="28"/>
        </w:rPr>
        <w:t>根据《关于学习运用“千万工程”经验进一步提高村庄规划实效的通知》渝规资〔2024〕217号</w:t>
      </w:r>
      <w:r>
        <w:rPr>
          <w:rFonts w:hint="eastAsia" w:ascii="Times New Roman" w:hAnsi="Times New Roman" w:eastAsia="仿宋" w:cs="Times New Roman"/>
          <w:kern w:val="0"/>
          <w:sz w:val="28"/>
          <w:szCs w:val="28"/>
        </w:rPr>
        <w:t>文件</w:t>
      </w:r>
      <w:r>
        <w:rPr>
          <w:rFonts w:ascii="Times New Roman" w:hAnsi="Times New Roman" w:eastAsia="仿宋" w:cs="Times New Roman"/>
          <w:kern w:val="0"/>
          <w:sz w:val="28"/>
          <w:szCs w:val="28"/>
        </w:rPr>
        <w:t>要求“至规划期末，区县域建设用地规模不超过2020年度国土变更调查村庄用地（203）规模”。盘龙镇三合村2020年村庄用地规模为</w:t>
      </w:r>
      <w:r>
        <w:rPr>
          <w:rFonts w:hint="eastAsia" w:ascii="Times New Roman" w:hAnsi="Times New Roman" w:eastAsia="仿宋" w:cs="Times New Roman"/>
          <w:kern w:val="0"/>
          <w:sz w:val="28"/>
          <w:szCs w:val="28"/>
        </w:rPr>
        <w:t>85.16</w:t>
      </w:r>
      <w:r>
        <w:rPr>
          <w:rFonts w:ascii="Times New Roman" w:hAnsi="Times New Roman" w:eastAsia="仿宋" w:cs="Times New Roman"/>
          <w:kern w:val="0"/>
          <w:sz w:val="28"/>
          <w:szCs w:val="28"/>
        </w:rPr>
        <w:t>公顷，盘龙镇昌州村</w:t>
      </w:r>
      <w:r>
        <w:rPr>
          <w:rFonts w:hint="eastAsia" w:ascii="Times New Roman" w:hAnsi="Times New Roman" w:eastAsia="仿宋" w:cs="Times New Roman"/>
          <w:kern w:val="0"/>
          <w:sz w:val="28"/>
          <w:szCs w:val="28"/>
        </w:rPr>
        <w:t>2020年村庄用地规模为88.49公顷，项目落实后</w:t>
      </w:r>
      <w:r>
        <w:rPr>
          <w:rFonts w:ascii="Times New Roman" w:hAnsi="Times New Roman" w:eastAsia="仿宋" w:cs="Times New Roman"/>
          <w:kern w:val="0"/>
          <w:sz w:val="28"/>
          <w:szCs w:val="28"/>
        </w:rPr>
        <w:t>，三合村和昌州村村庄用地规模均未突破2020年村庄用地规模。详见下表：</w:t>
      </w:r>
    </w:p>
    <w:p w14:paraId="0AE0D840">
      <w:pPr>
        <w:pStyle w:val="2"/>
        <w:ind w:left="0" w:leftChars="0" w:firstLine="539"/>
        <w:rPr>
          <w:rFonts w:ascii="仿宋" w:hAnsi="仿宋" w:eastAsia="仿宋"/>
          <w:sz w:val="28"/>
          <w:szCs w:val="28"/>
        </w:rPr>
      </w:pPr>
      <w:r>
        <w:rPr>
          <w:rFonts w:hint="eastAsia" w:ascii="仿宋" w:hAnsi="仿宋" w:eastAsia="仿宋"/>
          <w:sz w:val="28"/>
          <w:szCs w:val="28"/>
        </w:rPr>
        <w:t xml:space="preserve">表4-2 盘龙镇三合村规划目标表   </w:t>
      </w:r>
      <w:r>
        <w:rPr>
          <w:rFonts w:hint="eastAsia" w:ascii="仿宋" w:hAnsi="仿宋" w:eastAsia="仿宋"/>
          <w:szCs w:val="21"/>
        </w:rPr>
        <w:t>单位：公顷</w:t>
      </w:r>
    </w:p>
    <w:tbl>
      <w:tblPr>
        <w:tblStyle w:val="12"/>
        <w:tblW w:w="5000" w:type="pct"/>
        <w:tblInd w:w="0" w:type="dxa"/>
        <w:tblLayout w:type="autofit"/>
        <w:tblCellMar>
          <w:top w:w="0" w:type="dxa"/>
          <w:left w:w="108" w:type="dxa"/>
          <w:bottom w:w="0" w:type="dxa"/>
          <w:right w:w="108" w:type="dxa"/>
        </w:tblCellMar>
      </w:tblPr>
      <w:tblGrid>
        <w:gridCol w:w="1586"/>
        <w:gridCol w:w="2136"/>
        <w:gridCol w:w="2136"/>
        <w:gridCol w:w="1566"/>
        <w:gridCol w:w="1098"/>
      </w:tblGrid>
      <w:tr w14:paraId="1D7543AA">
        <w:tblPrEx>
          <w:tblCellMar>
            <w:top w:w="0" w:type="dxa"/>
            <w:left w:w="108" w:type="dxa"/>
            <w:bottom w:w="0" w:type="dxa"/>
            <w:right w:w="108" w:type="dxa"/>
          </w:tblCellMar>
        </w:tblPrEx>
        <w:trPr>
          <w:trHeight w:val="285" w:hRule="atLeast"/>
        </w:trPr>
        <w:tc>
          <w:tcPr>
            <w:tcW w:w="9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4D4429A">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指标</w:t>
            </w:r>
          </w:p>
        </w:tc>
        <w:tc>
          <w:tcPr>
            <w:tcW w:w="1253" w:type="pct"/>
            <w:tcBorders>
              <w:top w:val="single" w:color="auto" w:sz="4" w:space="0"/>
              <w:left w:val="nil"/>
              <w:bottom w:val="single" w:color="auto" w:sz="4" w:space="0"/>
              <w:right w:val="single" w:color="auto" w:sz="4" w:space="0"/>
            </w:tcBorders>
            <w:shd w:val="clear" w:color="auto" w:fill="auto"/>
            <w:noWrap/>
            <w:vAlign w:val="center"/>
          </w:tcPr>
          <w:p w14:paraId="4E0BDCFE">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基期年（2023年）</w:t>
            </w:r>
          </w:p>
        </w:tc>
        <w:tc>
          <w:tcPr>
            <w:tcW w:w="1253" w:type="pct"/>
            <w:tcBorders>
              <w:top w:val="single" w:color="auto" w:sz="4" w:space="0"/>
              <w:left w:val="nil"/>
              <w:bottom w:val="single" w:color="auto" w:sz="4" w:space="0"/>
              <w:right w:val="single" w:color="auto" w:sz="4" w:space="0"/>
            </w:tcBorders>
            <w:shd w:val="clear" w:color="auto" w:fill="auto"/>
            <w:noWrap/>
            <w:vAlign w:val="center"/>
          </w:tcPr>
          <w:p w14:paraId="3829EE51">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目标年（2035年）</w:t>
            </w:r>
          </w:p>
        </w:tc>
        <w:tc>
          <w:tcPr>
            <w:tcW w:w="919" w:type="pct"/>
            <w:tcBorders>
              <w:top w:val="single" w:color="auto" w:sz="4" w:space="0"/>
              <w:left w:val="nil"/>
              <w:bottom w:val="single" w:color="auto" w:sz="4" w:space="0"/>
              <w:right w:val="single" w:color="auto" w:sz="4" w:space="0"/>
            </w:tcBorders>
            <w:shd w:val="clear" w:color="auto" w:fill="auto"/>
            <w:noWrap/>
            <w:vAlign w:val="center"/>
          </w:tcPr>
          <w:p w14:paraId="3BA85E6F">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变化量</w:t>
            </w:r>
          </w:p>
        </w:tc>
        <w:tc>
          <w:tcPr>
            <w:tcW w:w="644" w:type="pct"/>
            <w:tcBorders>
              <w:top w:val="single" w:color="auto" w:sz="4" w:space="0"/>
              <w:left w:val="nil"/>
              <w:bottom w:val="single" w:color="auto" w:sz="4" w:space="0"/>
              <w:right w:val="single" w:color="auto" w:sz="4" w:space="0"/>
            </w:tcBorders>
            <w:shd w:val="clear" w:color="auto" w:fill="auto"/>
            <w:noWrap/>
            <w:vAlign w:val="center"/>
          </w:tcPr>
          <w:p w14:paraId="453BAD54">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属性</w:t>
            </w:r>
          </w:p>
        </w:tc>
      </w:tr>
      <w:tr w14:paraId="6DFF1664">
        <w:tblPrEx>
          <w:tblCellMar>
            <w:top w:w="0" w:type="dxa"/>
            <w:left w:w="108" w:type="dxa"/>
            <w:bottom w:w="0" w:type="dxa"/>
            <w:right w:w="108" w:type="dxa"/>
          </w:tblCellMar>
        </w:tblPrEx>
        <w:trPr>
          <w:trHeight w:val="285" w:hRule="atLeast"/>
        </w:trPr>
        <w:tc>
          <w:tcPr>
            <w:tcW w:w="931" w:type="pct"/>
            <w:tcBorders>
              <w:top w:val="nil"/>
              <w:left w:val="single" w:color="auto" w:sz="4" w:space="0"/>
              <w:bottom w:val="single" w:color="auto" w:sz="4" w:space="0"/>
              <w:right w:val="single" w:color="auto" w:sz="4" w:space="0"/>
            </w:tcBorders>
            <w:shd w:val="clear" w:color="auto" w:fill="auto"/>
            <w:noWrap/>
            <w:vAlign w:val="center"/>
          </w:tcPr>
          <w:p w14:paraId="36B1838F">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耕地保有量</w:t>
            </w:r>
          </w:p>
        </w:tc>
        <w:tc>
          <w:tcPr>
            <w:tcW w:w="1253" w:type="pct"/>
            <w:tcBorders>
              <w:top w:val="nil"/>
              <w:left w:val="nil"/>
              <w:bottom w:val="single" w:color="auto" w:sz="4" w:space="0"/>
              <w:right w:val="single" w:color="auto" w:sz="4" w:space="0"/>
            </w:tcBorders>
            <w:shd w:val="clear" w:color="auto" w:fill="auto"/>
            <w:noWrap/>
            <w:vAlign w:val="center"/>
          </w:tcPr>
          <w:p w14:paraId="5310E4A2">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312.70</w:t>
            </w:r>
          </w:p>
        </w:tc>
        <w:tc>
          <w:tcPr>
            <w:tcW w:w="1253" w:type="pct"/>
            <w:tcBorders>
              <w:top w:val="nil"/>
              <w:left w:val="nil"/>
              <w:bottom w:val="single" w:color="auto" w:sz="4" w:space="0"/>
              <w:right w:val="single" w:color="auto" w:sz="4" w:space="0"/>
            </w:tcBorders>
            <w:shd w:val="clear" w:color="auto" w:fill="auto"/>
            <w:noWrap/>
            <w:vAlign w:val="center"/>
          </w:tcPr>
          <w:p w14:paraId="4A1FF2F8">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308.93</w:t>
            </w:r>
          </w:p>
        </w:tc>
        <w:tc>
          <w:tcPr>
            <w:tcW w:w="919" w:type="pct"/>
            <w:tcBorders>
              <w:top w:val="nil"/>
              <w:left w:val="nil"/>
              <w:bottom w:val="single" w:color="auto" w:sz="4" w:space="0"/>
              <w:right w:val="single" w:color="auto" w:sz="4" w:space="0"/>
            </w:tcBorders>
            <w:shd w:val="clear" w:color="auto" w:fill="auto"/>
            <w:noWrap/>
            <w:vAlign w:val="center"/>
          </w:tcPr>
          <w:p w14:paraId="46B8DEF2">
            <w:pPr>
              <w:widowControl/>
              <w:jc w:val="center"/>
              <w:rPr>
                <w:rFonts w:ascii="Times New Roman" w:hAnsi="Times New Roman" w:eastAsia="仿宋" w:cs="Times New Roman"/>
                <w:color w:val="000000"/>
                <w:kern w:val="0"/>
                <w:szCs w:val="21"/>
              </w:rPr>
            </w:pPr>
            <w:r>
              <w:rPr>
                <w:rFonts w:hint="eastAsia" w:ascii="Times New Roman" w:hAnsi="Times New Roman" w:eastAsia="仿宋" w:cs="Times New Roman"/>
                <w:color w:val="000000"/>
                <w:kern w:val="0"/>
                <w:szCs w:val="21"/>
              </w:rPr>
              <w:t>3.77</w:t>
            </w:r>
          </w:p>
        </w:tc>
        <w:tc>
          <w:tcPr>
            <w:tcW w:w="644" w:type="pct"/>
            <w:tcBorders>
              <w:top w:val="nil"/>
              <w:left w:val="nil"/>
              <w:bottom w:val="single" w:color="auto" w:sz="4" w:space="0"/>
              <w:right w:val="single" w:color="auto" w:sz="4" w:space="0"/>
            </w:tcBorders>
            <w:shd w:val="clear" w:color="auto" w:fill="auto"/>
            <w:noWrap/>
            <w:vAlign w:val="center"/>
          </w:tcPr>
          <w:p w14:paraId="3D4DD55D">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约束性</w:t>
            </w:r>
          </w:p>
        </w:tc>
      </w:tr>
      <w:tr w14:paraId="14E9D85F">
        <w:tblPrEx>
          <w:tblCellMar>
            <w:top w:w="0" w:type="dxa"/>
            <w:left w:w="108" w:type="dxa"/>
            <w:bottom w:w="0" w:type="dxa"/>
            <w:right w:w="108" w:type="dxa"/>
          </w:tblCellMar>
        </w:tblPrEx>
        <w:trPr>
          <w:trHeight w:val="285" w:hRule="atLeast"/>
        </w:trPr>
        <w:tc>
          <w:tcPr>
            <w:tcW w:w="931" w:type="pct"/>
            <w:tcBorders>
              <w:top w:val="nil"/>
              <w:left w:val="single" w:color="auto" w:sz="4" w:space="0"/>
              <w:bottom w:val="single" w:color="auto" w:sz="4" w:space="0"/>
              <w:right w:val="single" w:color="auto" w:sz="4" w:space="0"/>
            </w:tcBorders>
            <w:shd w:val="clear" w:color="auto" w:fill="auto"/>
            <w:noWrap/>
            <w:vAlign w:val="center"/>
          </w:tcPr>
          <w:p w14:paraId="6E0AF0B6">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永久基本农田</w:t>
            </w:r>
          </w:p>
        </w:tc>
        <w:tc>
          <w:tcPr>
            <w:tcW w:w="1253" w:type="pct"/>
            <w:tcBorders>
              <w:top w:val="nil"/>
              <w:left w:val="nil"/>
              <w:bottom w:val="single" w:color="auto" w:sz="4" w:space="0"/>
              <w:right w:val="single" w:color="auto" w:sz="4" w:space="0"/>
            </w:tcBorders>
            <w:shd w:val="clear" w:color="auto" w:fill="auto"/>
            <w:noWrap/>
            <w:vAlign w:val="center"/>
          </w:tcPr>
          <w:p w14:paraId="34C17605">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272.97</w:t>
            </w:r>
          </w:p>
        </w:tc>
        <w:tc>
          <w:tcPr>
            <w:tcW w:w="1253" w:type="pct"/>
            <w:tcBorders>
              <w:top w:val="nil"/>
              <w:left w:val="nil"/>
              <w:bottom w:val="single" w:color="auto" w:sz="4" w:space="0"/>
              <w:right w:val="single" w:color="auto" w:sz="4" w:space="0"/>
            </w:tcBorders>
            <w:shd w:val="clear" w:color="auto" w:fill="auto"/>
            <w:noWrap/>
            <w:vAlign w:val="center"/>
          </w:tcPr>
          <w:p w14:paraId="7CD97A0D">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272.97</w:t>
            </w:r>
          </w:p>
        </w:tc>
        <w:tc>
          <w:tcPr>
            <w:tcW w:w="919" w:type="pct"/>
            <w:tcBorders>
              <w:top w:val="nil"/>
              <w:left w:val="nil"/>
              <w:bottom w:val="single" w:color="auto" w:sz="4" w:space="0"/>
              <w:right w:val="single" w:color="auto" w:sz="4" w:space="0"/>
            </w:tcBorders>
            <w:shd w:val="clear" w:color="auto" w:fill="auto"/>
            <w:noWrap/>
            <w:vAlign w:val="center"/>
          </w:tcPr>
          <w:p w14:paraId="3E2C3591">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0.00 </w:t>
            </w:r>
          </w:p>
        </w:tc>
        <w:tc>
          <w:tcPr>
            <w:tcW w:w="644" w:type="pct"/>
            <w:tcBorders>
              <w:top w:val="nil"/>
              <w:left w:val="nil"/>
              <w:bottom w:val="single" w:color="auto" w:sz="4" w:space="0"/>
              <w:right w:val="single" w:color="auto" w:sz="4" w:space="0"/>
            </w:tcBorders>
            <w:shd w:val="clear" w:color="auto" w:fill="auto"/>
            <w:noWrap/>
            <w:vAlign w:val="center"/>
          </w:tcPr>
          <w:p w14:paraId="410FC448">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约束性</w:t>
            </w:r>
          </w:p>
        </w:tc>
      </w:tr>
      <w:tr w14:paraId="090B10ED">
        <w:tblPrEx>
          <w:tblCellMar>
            <w:top w:w="0" w:type="dxa"/>
            <w:left w:w="108" w:type="dxa"/>
            <w:bottom w:w="0" w:type="dxa"/>
            <w:right w:w="108" w:type="dxa"/>
          </w:tblCellMar>
        </w:tblPrEx>
        <w:trPr>
          <w:trHeight w:val="285" w:hRule="atLeast"/>
        </w:trPr>
        <w:tc>
          <w:tcPr>
            <w:tcW w:w="931" w:type="pct"/>
            <w:tcBorders>
              <w:top w:val="nil"/>
              <w:left w:val="single" w:color="auto" w:sz="4" w:space="0"/>
              <w:bottom w:val="single" w:color="auto" w:sz="4" w:space="0"/>
              <w:right w:val="single" w:color="auto" w:sz="4" w:space="0"/>
            </w:tcBorders>
            <w:shd w:val="clear" w:color="auto" w:fill="auto"/>
            <w:noWrap/>
            <w:vAlign w:val="center"/>
          </w:tcPr>
          <w:p w14:paraId="6A1E82A9">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生态保护红线</w:t>
            </w:r>
          </w:p>
        </w:tc>
        <w:tc>
          <w:tcPr>
            <w:tcW w:w="1253" w:type="pct"/>
            <w:tcBorders>
              <w:top w:val="nil"/>
              <w:left w:val="nil"/>
              <w:bottom w:val="single" w:color="auto" w:sz="4" w:space="0"/>
              <w:right w:val="single" w:color="auto" w:sz="4" w:space="0"/>
            </w:tcBorders>
            <w:shd w:val="clear" w:color="auto" w:fill="auto"/>
            <w:noWrap/>
            <w:vAlign w:val="center"/>
          </w:tcPr>
          <w:p w14:paraId="2F87788B">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w:t>
            </w:r>
          </w:p>
        </w:tc>
        <w:tc>
          <w:tcPr>
            <w:tcW w:w="1253" w:type="pct"/>
            <w:tcBorders>
              <w:top w:val="nil"/>
              <w:left w:val="nil"/>
              <w:bottom w:val="single" w:color="auto" w:sz="4" w:space="0"/>
              <w:right w:val="single" w:color="auto" w:sz="4" w:space="0"/>
            </w:tcBorders>
            <w:shd w:val="clear" w:color="auto" w:fill="auto"/>
            <w:noWrap/>
            <w:vAlign w:val="center"/>
          </w:tcPr>
          <w:p w14:paraId="7B283C97">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w:t>
            </w:r>
          </w:p>
        </w:tc>
        <w:tc>
          <w:tcPr>
            <w:tcW w:w="919" w:type="pct"/>
            <w:tcBorders>
              <w:top w:val="nil"/>
              <w:left w:val="nil"/>
              <w:bottom w:val="single" w:color="auto" w:sz="4" w:space="0"/>
              <w:right w:val="single" w:color="auto" w:sz="4" w:space="0"/>
            </w:tcBorders>
            <w:shd w:val="clear" w:color="auto" w:fill="auto"/>
            <w:noWrap/>
            <w:vAlign w:val="center"/>
          </w:tcPr>
          <w:p w14:paraId="51A973BA">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w:t>
            </w:r>
          </w:p>
        </w:tc>
        <w:tc>
          <w:tcPr>
            <w:tcW w:w="644" w:type="pct"/>
            <w:tcBorders>
              <w:top w:val="nil"/>
              <w:left w:val="nil"/>
              <w:bottom w:val="single" w:color="auto" w:sz="4" w:space="0"/>
              <w:right w:val="single" w:color="auto" w:sz="4" w:space="0"/>
            </w:tcBorders>
            <w:shd w:val="clear" w:color="auto" w:fill="auto"/>
            <w:noWrap/>
            <w:vAlign w:val="center"/>
          </w:tcPr>
          <w:p w14:paraId="6CC97E9C">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约束性</w:t>
            </w:r>
          </w:p>
        </w:tc>
      </w:tr>
      <w:tr w14:paraId="711FE6DD">
        <w:tblPrEx>
          <w:tblCellMar>
            <w:top w:w="0" w:type="dxa"/>
            <w:left w:w="108" w:type="dxa"/>
            <w:bottom w:w="0" w:type="dxa"/>
            <w:right w:w="108" w:type="dxa"/>
          </w:tblCellMar>
        </w:tblPrEx>
        <w:trPr>
          <w:trHeight w:val="285" w:hRule="atLeast"/>
        </w:trPr>
        <w:tc>
          <w:tcPr>
            <w:tcW w:w="931" w:type="pct"/>
            <w:tcBorders>
              <w:top w:val="nil"/>
              <w:left w:val="single" w:color="auto" w:sz="4" w:space="0"/>
              <w:bottom w:val="single" w:color="auto" w:sz="4" w:space="0"/>
              <w:right w:val="single" w:color="auto" w:sz="4" w:space="0"/>
            </w:tcBorders>
            <w:shd w:val="clear" w:color="auto" w:fill="auto"/>
            <w:noWrap/>
            <w:vAlign w:val="center"/>
          </w:tcPr>
          <w:p w14:paraId="0894F6F1">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村庄用地</w:t>
            </w:r>
          </w:p>
        </w:tc>
        <w:tc>
          <w:tcPr>
            <w:tcW w:w="1253" w:type="pct"/>
            <w:tcBorders>
              <w:top w:val="nil"/>
              <w:left w:val="nil"/>
              <w:bottom w:val="single" w:color="auto" w:sz="4" w:space="0"/>
              <w:right w:val="single" w:color="auto" w:sz="4" w:space="0"/>
            </w:tcBorders>
            <w:shd w:val="clear" w:color="auto" w:fill="auto"/>
            <w:noWrap/>
            <w:vAlign w:val="center"/>
          </w:tcPr>
          <w:p w14:paraId="55D240C9">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82.66</w:t>
            </w:r>
          </w:p>
        </w:tc>
        <w:tc>
          <w:tcPr>
            <w:tcW w:w="1253" w:type="pct"/>
            <w:tcBorders>
              <w:top w:val="nil"/>
              <w:left w:val="nil"/>
              <w:bottom w:val="single" w:color="auto" w:sz="4" w:space="0"/>
              <w:right w:val="single" w:color="auto" w:sz="4" w:space="0"/>
            </w:tcBorders>
            <w:shd w:val="clear" w:color="auto" w:fill="auto"/>
            <w:noWrap/>
            <w:vAlign w:val="center"/>
          </w:tcPr>
          <w:p w14:paraId="7E0C3290">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85.16</w:t>
            </w:r>
          </w:p>
        </w:tc>
        <w:tc>
          <w:tcPr>
            <w:tcW w:w="919" w:type="pct"/>
            <w:tcBorders>
              <w:top w:val="nil"/>
              <w:left w:val="nil"/>
              <w:bottom w:val="single" w:color="auto" w:sz="4" w:space="0"/>
              <w:right w:val="single" w:color="auto" w:sz="4" w:space="0"/>
            </w:tcBorders>
            <w:shd w:val="clear" w:color="auto" w:fill="auto"/>
            <w:noWrap/>
            <w:vAlign w:val="center"/>
          </w:tcPr>
          <w:p w14:paraId="34FCAC75">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2.50 </w:t>
            </w:r>
          </w:p>
        </w:tc>
        <w:tc>
          <w:tcPr>
            <w:tcW w:w="644" w:type="pct"/>
            <w:tcBorders>
              <w:top w:val="nil"/>
              <w:left w:val="nil"/>
              <w:bottom w:val="single" w:color="auto" w:sz="4" w:space="0"/>
              <w:right w:val="single" w:color="auto" w:sz="4" w:space="0"/>
            </w:tcBorders>
            <w:shd w:val="clear" w:color="auto" w:fill="auto"/>
            <w:noWrap/>
            <w:vAlign w:val="center"/>
          </w:tcPr>
          <w:p w14:paraId="5C70DECB">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约束性</w:t>
            </w:r>
          </w:p>
        </w:tc>
      </w:tr>
    </w:tbl>
    <w:p w14:paraId="14B72761">
      <w:pPr>
        <w:pStyle w:val="2"/>
        <w:ind w:left="0" w:leftChars="0" w:firstLine="539"/>
        <w:rPr>
          <w:rFonts w:ascii="仿宋" w:hAnsi="仿宋" w:eastAsia="仿宋"/>
          <w:b/>
          <w:sz w:val="28"/>
          <w:szCs w:val="28"/>
        </w:rPr>
      </w:pPr>
      <w:r>
        <w:rPr>
          <w:rFonts w:hint="eastAsia" w:ascii="仿宋" w:hAnsi="仿宋" w:eastAsia="仿宋"/>
          <w:sz w:val="28"/>
          <w:szCs w:val="28"/>
        </w:rPr>
        <w:t xml:space="preserve">表4-3 盘龙镇昌州村规划目标表   </w:t>
      </w:r>
      <w:r>
        <w:rPr>
          <w:rFonts w:hint="eastAsia" w:ascii="仿宋" w:hAnsi="仿宋" w:eastAsia="仿宋"/>
          <w:szCs w:val="21"/>
        </w:rPr>
        <w:t>单位：公顷</w:t>
      </w:r>
    </w:p>
    <w:tbl>
      <w:tblPr>
        <w:tblStyle w:val="12"/>
        <w:tblW w:w="5000" w:type="pct"/>
        <w:tblInd w:w="0" w:type="dxa"/>
        <w:tblLayout w:type="autofit"/>
        <w:tblCellMar>
          <w:top w:w="0" w:type="dxa"/>
          <w:left w:w="108" w:type="dxa"/>
          <w:bottom w:w="0" w:type="dxa"/>
          <w:right w:w="108" w:type="dxa"/>
        </w:tblCellMar>
      </w:tblPr>
      <w:tblGrid>
        <w:gridCol w:w="1586"/>
        <w:gridCol w:w="2136"/>
        <w:gridCol w:w="2136"/>
        <w:gridCol w:w="1566"/>
        <w:gridCol w:w="1098"/>
      </w:tblGrid>
      <w:tr w14:paraId="271DD79D">
        <w:tblPrEx>
          <w:tblCellMar>
            <w:top w:w="0" w:type="dxa"/>
            <w:left w:w="108" w:type="dxa"/>
            <w:bottom w:w="0" w:type="dxa"/>
            <w:right w:w="108" w:type="dxa"/>
          </w:tblCellMar>
        </w:tblPrEx>
        <w:trPr>
          <w:trHeight w:val="285" w:hRule="atLeast"/>
        </w:trPr>
        <w:tc>
          <w:tcPr>
            <w:tcW w:w="9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A483526">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指标</w:t>
            </w:r>
          </w:p>
        </w:tc>
        <w:tc>
          <w:tcPr>
            <w:tcW w:w="1253" w:type="pct"/>
            <w:tcBorders>
              <w:top w:val="single" w:color="auto" w:sz="4" w:space="0"/>
              <w:left w:val="nil"/>
              <w:bottom w:val="single" w:color="auto" w:sz="4" w:space="0"/>
              <w:right w:val="single" w:color="auto" w:sz="4" w:space="0"/>
            </w:tcBorders>
            <w:shd w:val="clear" w:color="auto" w:fill="auto"/>
            <w:noWrap/>
            <w:vAlign w:val="center"/>
          </w:tcPr>
          <w:p w14:paraId="0F2BB75E">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基期年（2023年）</w:t>
            </w:r>
          </w:p>
        </w:tc>
        <w:tc>
          <w:tcPr>
            <w:tcW w:w="1253" w:type="pct"/>
            <w:tcBorders>
              <w:top w:val="single" w:color="auto" w:sz="4" w:space="0"/>
              <w:left w:val="nil"/>
              <w:bottom w:val="single" w:color="auto" w:sz="4" w:space="0"/>
              <w:right w:val="single" w:color="auto" w:sz="4" w:space="0"/>
            </w:tcBorders>
            <w:shd w:val="clear" w:color="auto" w:fill="auto"/>
            <w:noWrap/>
            <w:vAlign w:val="center"/>
          </w:tcPr>
          <w:p w14:paraId="1B264C58">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目标年（2035年）</w:t>
            </w:r>
          </w:p>
        </w:tc>
        <w:tc>
          <w:tcPr>
            <w:tcW w:w="919" w:type="pct"/>
            <w:tcBorders>
              <w:top w:val="single" w:color="auto" w:sz="4" w:space="0"/>
              <w:left w:val="nil"/>
              <w:bottom w:val="single" w:color="auto" w:sz="4" w:space="0"/>
              <w:right w:val="single" w:color="auto" w:sz="4" w:space="0"/>
            </w:tcBorders>
            <w:shd w:val="clear" w:color="auto" w:fill="auto"/>
            <w:noWrap/>
            <w:vAlign w:val="center"/>
          </w:tcPr>
          <w:p w14:paraId="274B927A">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变化量</w:t>
            </w:r>
          </w:p>
        </w:tc>
        <w:tc>
          <w:tcPr>
            <w:tcW w:w="644" w:type="pct"/>
            <w:tcBorders>
              <w:top w:val="single" w:color="auto" w:sz="4" w:space="0"/>
              <w:left w:val="nil"/>
              <w:bottom w:val="single" w:color="auto" w:sz="4" w:space="0"/>
              <w:right w:val="single" w:color="auto" w:sz="4" w:space="0"/>
            </w:tcBorders>
            <w:shd w:val="clear" w:color="auto" w:fill="auto"/>
            <w:noWrap/>
            <w:vAlign w:val="center"/>
          </w:tcPr>
          <w:p w14:paraId="193F293D">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属性</w:t>
            </w:r>
          </w:p>
        </w:tc>
      </w:tr>
      <w:tr w14:paraId="22E7FC33">
        <w:tblPrEx>
          <w:tblCellMar>
            <w:top w:w="0" w:type="dxa"/>
            <w:left w:w="108" w:type="dxa"/>
            <w:bottom w:w="0" w:type="dxa"/>
            <w:right w:w="108" w:type="dxa"/>
          </w:tblCellMar>
        </w:tblPrEx>
        <w:trPr>
          <w:trHeight w:val="285" w:hRule="atLeast"/>
        </w:trPr>
        <w:tc>
          <w:tcPr>
            <w:tcW w:w="931" w:type="pct"/>
            <w:tcBorders>
              <w:top w:val="nil"/>
              <w:left w:val="single" w:color="auto" w:sz="4" w:space="0"/>
              <w:bottom w:val="single" w:color="auto" w:sz="4" w:space="0"/>
              <w:right w:val="single" w:color="auto" w:sz="4" w:space="0"/>
            </w:tcBorders>
            <w:shd w:val="clear" w:color="auto" w:fill="auto"/>
            <w:noWrap/>
            <w:vAlign w:val="center"/>
          </w:tcPr>
          <w:p w14:paraId="3EE55C54">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耕地保有量</w:t>
            </w:r>
          </w:p>
        </w:tc>
        <w:tc>
          <w:tcPr>
            <w:tcW w:w="1253" w:type="pct"/>
            <w:tcBorders>
              <w:top w:val="nil"/>
              <w:left w:val="nil"/>
              <w:bottom w:val="single" w:color="auto" w:sz="4" w:space="0"/>
              <w:right w:val="single" w:color="auto" w:sz="4" w:space="0"/>
            </w:tcBorders>
            <w:shd w:val="clear" w:color="auto" w:fill="auto"/>
            <w:noWrap/>
            <w:vAlign w:val="center"/>
          </w:tcPr>
          <w:p w14:paraId="0013E87F">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448.79</w:t>
            </w:r>
          </w:p>
        </w:tc>
        <w:tc>
          <w:tcPr>
            <w:tcW w:w="1253" w:type="pct"/>
            <w:tcBorders>
              <w:top w:val="nil"/>
              <w:left w:val="nil"/>
              <w:bottom w:val="single" w:color="auto" w:sz="4" w:space="0"/>
              <w:right w:val="single" w:color="auto" w:sz="4" w:space="0"/>
            </w:tcBorders>
            <w:shd w:val="clear" w:color="auto" w:fill="auto"/>
            <w:noWrap/>
            <w:vAlign w:val="center"/>
          </w:tcPr>
          <w:p w14:paraId="16CB0BC8">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445.38</w:t>
            </w:r>
          </w:p>
        </w:tc>
        <w:tc>
          <w:tcPr>
            <w:tcW w:w="919" w:type="pct"/>
            <w:tcBorders>
              <w:top w:val="nil"/>
              <w:left w:val="nil"/>
              <w:bottom w:val="single" w:color="auto" w:sz="4" w:space="0"/>
              <w:right w:val="single" w:color="auto" w:sz="4" w:space="0"/>
            </w:tcBorders>
            <w:shd w:val="clear" w:color="auto" w:fill="auto"/>
            <w:noWrap/>
            <w:vAlign w:val="center"/>
          </w:tcPr>
          <w:p w14:paraId="068FC19E">
            <w:pPr>
              <w:widowControl/>
              <w:jc w:val="center"/>
              <w:rPr>
                <w:rFonts w:ascii="Times New Roman" w:hAnsi="Times New Roman" w:eastAsia="仿宋" w:cs="Times New Roman"/>
                <w:color w:val="000000"/>
                <w:kern w:val="0"/>
                <w:szCs w:val="21"/>
              </w:rPr>
            </w:pPr>
            <w:r>
              <w:rPr>
                <w:rFonts w:hint="eastAsia" w:ascii="Times New Roman" w:hAnsi="Times New Roman" w:eastAsia="仿宋" w:cs="Times New Roman"/>
                <w:color w:val="000000"/>
                <w:kern w:val="0"/>
                <w:szCs w:val="21"/>
              </w:rPr>
              <w:t>3.41</w:t>
            </w:r>
            <w:r>
              <w:rPr>
                <w:rFonts w:ascii="Times New Roman" w:hAnsi="Times New Roman" w:eastAsia="仿宋" w:cs="Times New Roman"/>
                <w:color w:val="000000"/>
                <w:kern w:val="0"/>
                <w:szCs w:val="21"/>
              </w:rPr>
              <w:t xml:space="preserve"> </w:t>
            </w:r>
          </w:p>
        </w:tc>
        <w:tc>
          <w:tcPr>
            <w:tcW w:w="644" w:type="pct"/>
            <w:tcBorders>
              <w:top w:val="nil"/>
              <w:left w:val="nil"/>
              <w:bottom w:val="single" w:color="auto" w:sz="4" w:space="0"/>
              <w:right w:val="single" w:color="auto" w:sz="4" w:space="0"/>
            </w:tcBorders>
            <w:shd w:val="clear" w:color="auto" w:fill="auto"/>
            <w:noWrap/>
            <w:vAlign w:val="center"/>
          </w:tcPr>
          <w:p w14:paraId="54036FE1">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约束性</w:t>
            </w:r>
          </w:p>
        </w:tc>
      </w:tr>
      <w:tr w14:paraId="6E48AAAA">
        <w:tblPrEx>
          <w:tblCellMar>
            <w:top w:w="0" w:type="dxa"/>
            <w:left w:w="108" w:type="dxa"/>
            <w:bottom w:w="0" w:type="dxa"/>
            <w:right w:w="108" w:type="dxa"/>
          </w:tblCellMar>
        </w:tblPrEx>
        <w:trPr>
          <w:trHeight w:val="285" w:hRule="atLeast"/>
        </w:trPr>
        <w:tc>
          <w:tcPr>
            <w:tcW w:w="931" w:type="pct"/>
            <w:tcBorders>
              <w:top w:val="nil"/>
              <w:left w:val="single" w:color="auto" w:sz="4" w:space="0"/>
              <w:bottom w:val="single" w:color="auto" w:sz="4" w:space="0"/>
              <w:right w:val="single" w:color="auto" w:sz="4" w:space="0"/>
            </w:tcBorders>
            <w:shd w:val="clear" w:color="auto" w:fill="auto"/>
            <w:noWrap/>
            <w:vAlign w:val="center"/>
          </w:tcPr>
          <w:p w14:paraId="38C302A6">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永久基本农田</w:t>
            </w:r>
          </w:p>
        </w:tc>
        <w:tc>
          <w:tcPr>
            <w:tcW w:w="1253" w:type="pct"/>
            <w:tcBorders>
              <w:top w:val="nil"/>
              <w:left w:val="nil"/>
              <w:bottom w:val="single" w:color="auto" w:sz="4" w:space="0"/>
              <w:right w:val="single" w:color="auto" w:sz="4" w:space="0"/>
            </w:tcBorders>
            <w:shd w:val="clear" w:color="auto" w:fill="auto"/>
            <w:noWrap/>
            <w:vAlign w:val="center"/>
          </w:tcPr>
          <w:p w14:paraId="2C497724">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431.47</w:t>
            </w:r>
          </w:p>
        </w:tc>
        <w:tc>
          <w:tcPr>
            <w:tcW w:w="1253" w:type="pct"/>
            <w:tcBorders>
              <w:top w:val="nil"/>
              <w:left w:val="nil"/>
              <w:bottom w:val="single" w:color="auto" w:sz="4" w:space="0"/>
              <w:right w:val="single" w:color="auto" w:sz="4" w:space="0"/>
            </w:tcBorders>
            <w:shd w:val="clear" w:color="auto" w:fill="auto"/>
            <w:noWrap/>
            <w:vAlign w:val="center"/>
          </w:tcPr>
          <w:p w14:paraId="196C7BF1">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431.47</w:t>
            </w:r>
          </w:p>
        </w:tc>
        <w:tc>
          <w:tcPr>
            <w:tcW w:w="919" w:type="pct"/>
            <w:tcBorders>
              <w:top w:val="nil"/>
              <w:left w:val="nil"/>
              <w:bottom w:val="single" w:color="auto" w:sz="4" w:space="0"/>
              <w:right w:val="single" w:color="auto" w:sz="4" w:space="0"/>
            </w:tcBorders>
            <w:shd w:val="clear" w:color="auto" w:fill="auto"/>
            <w:noWrap/>
            <w:vAlign w:val="center"/>
          </w:tcPr>
          <w:p w14:paraId="71DB9A8C">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0.00 </w:t>
            </w:r>
          </w:p>
        </w:tc>
        <w:tc>
          <w:tcPr>
            <w:tcW w:w="644" w:type="pct"/>
            <w:tcBorders>
              <w:top w:val="nil"/>
              <w:left w:val="nil"/>
              <w:bottom w:val="single" w:color="auto" w:sz="4" w:space="0"/>
              <w:right w:val="single" w:color="auto" w:sz="4" w:space="0"/>
            </w:tcBorders>
            <w:shd w:val="clear" w:color="auto" w:fill="auto"/>
            <w:noWrap/>
            <w:vAlign w:val="center"/>
          </w:tcPr>
          <w:p w14:paraId="10C4F070">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约束性</w:t>
            </w:r>
          </w:p>
        </w:tc>
      </w:tr>
      <w:tr w14:paraId="4C4D4589">
        <w:tblPrEx>
          <w:tblCellMar>
            <w:top w:w="0" w:type="dxa"/>
            <w:left w:w="108" w:type="dxa"/>
            <w:bottom w:w="0" w:type="dxa"/>
            <w:right w:w="108" w:type="dxa"/>
          </w:tblCellMar>
        </w:tblPrEx>
        <w:trPr>
          <w:trHeight w:val="285" w:hRule="atLeast"/>
        </w:trPr>
        <w:tc>
          <w:tcPr>
            <w:tcW w:w="931" w:type="pct"/>
            <w:tcBorders>
              <w:top w:val="nil"/>
              <w:left w:val="single" w:color="auto" w:sz="4" w:space="0"/>
              <w:bottom w:val="single" w:color="auto" w:sz="4" w:space="0"/>
              <w:right w:val="single" w:color="auto" w:sz="4" w:space="0"/>
            </w:tcBorders>
            <w:shd w:val="clear" w:color="auto" w:fill="auto"/>
            <w:noWrap/>
            <w:vAlign w:val="center"/>
          </w:tcPr>
          <w:p w14:paraId="74C81B83">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生态保护红线</w:t>
            </w:r>
          </w:p>
        </w:tc>
        <w:tc>
          <w:tcPr>
            <w:tcW w:w="1253" w:type="pct"/>
            <w:tcBorders>
              <w:top w:val="nil"/>
              <w:left w:val="nil"/>
              <w:bottom w:val="single" w:color="auto" w:sz="4" w:space="0"/>
              <w:right w:val="single" w:color="auto" w:sz="4" w:space="0"/>
            </w:tcBorders>
            <w:shd w:val="clear" w:color="auto" w:fill="auto"/>
            <w:noWrap/>
            <w:vAlign w:val="center"/>
          </w:tcPr>
          <w:p w14:paraId="3BD4760A">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w:t>
            </w:r>
          </w:p>
        </w:tc>
        <w:tc>
          <w:tcPr>
            <w:tcW w:w="1253" w:type="pct"/>
            <w:tcBorders>
              <w:top w:val="nil"/>
              <w:left w:val="nil"/>
              <w:bottom w:val="single" w:color="auto" w:sz="4" w:space="0"/>
              <w:right w:val="single" w:color="auto" w:sz="4" w:space="0"/>
            </w:tcBorders>
            <w:shd w:val="clear" w:color="auto" w:fill="auto"/>
            <w:noWrap/>
            <w:vAlign w:val="center"/>
          </w:tcPr>
          <w:p w14:paraId="60C12470">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w:t>
            </w:r>
          </w:p>
        </w:tc>
        <w:tc>
          <w:tcPr>
            <w:tcW w:w="919" w:type="pct"/>
            <w:tcBorders>
              <w:top w:val="nil"/>
              <w:left w:val="nil"/>
              <w:bottom w:val="single" w:color="auto" w:sz="4" w:space="0"/>
              <w:right w:val="single" w:color="auto" w:sz="4" w:space="0"/>
            </w:tcBorders>
            <w:shd w:val="clear" w:color="auto" w:fill="auto"/>
            <w:noWrap/>
            <w:vAlign w:val="center"/>
          </w:tcPr>
          <w:p w14:paraId="6C9FCF7A">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w:t>
            </w:r>
          </w:p>
        </w:tc>
        <w:tc>
          <w:tcPr>
            <w:tcW w:w="644" w:type="pct"/>
            <w:tcBorders>
              <w:top w:val="nil"/>
              <w:left w:val="nil"/>
              <w:bottom w:val="single" w:color="auto" w:sz="4" w:space="0"/>
              <w:right w:val="single" w:color="auto" w:sz="4" w:space="0"/>
            </w:tcBorders>
            <w:shd w:val="clear" w:color="auto" w:fill="auto"/>
            <w:noWrap/>
            <w:vAlign w:val="center"/>
          </w:tcPr>
          <w:p w14:paraId="49E75FA6">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约束性</w:t>
            </w:r>
          </w:p>
        </w:tc>
      </w:tr>
      <w:tr w14:paraId="7A592228">
        <w:tblPrEx>
          <w:tblCellMar>
            <w:top w:w="0" w:type="dxa"/>
            <w:left w:w="108" w:type="dxa"/>
            <w:bottom w:w="0" w:type="dxa"/>
            <w:right w:w="108" w:type="dxa"/>
          </w:tblCellMar>
        </w:tblPrEx>
        <w:trPr>
          <w:trHeight w:val="285" w:hRule="atLeast"/>
        </w:trPr>
        <w:tc>
          <w:tcPr>
            <w:tcW w:w="931" w:type="pct"/>
            <w:tcBorders>
              <w:top w:val="nil"/>
              <w:left w:val="single" w:color="auto" w:sz="4" w:space="0"/>
              <w:bottom w:val="single" w:color="auto" w:sz="4" w:space="0"/>
              <w:right w:val="single" w:color="auto" w:sz="4" w:space="0"/>
            </w:tcBorders>
            <w:shd w:val="clear" w:color="auto" w:fill="auto"/>
            <w:noWrap/>
            <w:vAlign w:val="center"/>
          </w:tcPr>
          <w:p w14:paraId="4B7177A1">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村庄用地</w:t>
            </w:r>
          </w:p>
        </w:tc>
        <w:tc>
          <w:tcPr>
            <w:tcW w:w="1253" w:type="pct"/>
            <w:tcBorders>
              <w:top w:val="nil"/>
              <w:left w:val="nil"/>
              <w:bottom w:val="single" w:color="auto" w:sz="4" w:space="0"/>
              <w:right w:val="single" w:color="auto" w:sz="4" w:space="0"/>
            </w:tcBorders>
            <w:shd w:val="clear" w:color="auto" w:fill="auto"/>
            <w:noWrap/>
            <w:vAlign w:val="center"/>
          </w:tcPr>
          <w:p w14:paraId="5B0733AD">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83.94</w:t>
            </w:r>
          </w:p>
        </w:tc>
        <w:tc>
          <w:tcPr>
            <w:tcW w:w="1253" w:type="pct"/>
            <w:tcBorders>
              <w:top w:val="nil"/>
              <w:left w:val="nil"/>
              <w:bottom w:val="single" w:color="auto" w:sz="4" w:space="0"/>
              <w:right w:val="single" w:color="auto" w:sz="4" w:space="0"/>
            </w:tcBorders>
            <w:shd w:val="clear" w:color="auto" w:fill="auto"/>
            <w:noWrap/>
            <w:vAlign w:val="center"/>
          </w:tcPr>
          <w:p w14:paraId="3E566C08">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88.49</w:t>
            </w:r>
          </w:p>
        </w:tc>
        <w:tc>
          <w:tcPr>
            <w:tcW w:w="919" w:type="pct"/>
            <w:tcBorders>
              <w:top w:val="nil"/>
              <w:left w:val="nil"/>
              <w:bottom w:val="single" w:color="auto" w:sz="4" w:space="0"/>
              <w:right w:val="single" w:color="auto" w:sz="4" w:space="0"/>
            </w:tcBorders>
            <w:shd w:val="clear" w:color="auto" w:fill="auto"/>
            <w:noWrap/>
            <w:vAlign w:val="center"/>
          </w:tcPr>
          <w:p w14:paraId="147B563C">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4.55 </w:t>
            </w:r>
          </w:p>
        </w:tc>
        <w:tc>
          <w:tcPr>
            <w:tcW w:w="644" w:type="pct"/>
            <w:tcBorders>
              <w:top w:val="nil"/>
              <w:left w:val="nil"/>
              <w:bottom w:val="single" w:color="auto" w:sz="4" w:space="0"/>
              <w:right w:val="single" w:color="auto" w:sz="4" w:space="0"/>
            </w:tcBorders>
            <w:shd w:val="clear" w:color="auto" w:fill="auto"/>
            <w:noWrap/>
            <w:vAlign w:val="center"/>
          </w:tcPr>
          <w:p w14:paraId="5AA801C7">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约束性</w:t>
            </w:r>
          </w:p>
        </w:tc>
      </w:tr>
    </w:tbl>
    <w:p w14:paraId="2EFE8E86">
      <w:pPr>
        <w:pStyle w:val="2"/>
        <w:ind w:left="0" w:leftChars="0" w:firstLine="539"/>
      </w:pPr>
    </w:p>
    <w:p w14:paraId="4C2169B3">
      <w:pPr>
        <w:pStyle w:val="4"/>
        <w:jc w:val="center"/>
        <w:rPr>
          <w:rFonts w:eastAsia="黑体"/>
          <w:sz w:val="32"/>
        </w:rPr>
      </w:pPr>
      <w:r>
        <w:rPr>
          <w:rFonts w:hint="eastAsia" w:eastAsia="黑体"/>
          <w:sz w:val="32"/>
        </w:rPr>
        <w:tab/>
      </w:r>
      <w:bookmarkStart w:id="18" w:name="_Toc177049534"/>
      <w:r>
        <w:rPr>
          <w:rFonts w:hint="eastAsia" w:eastAsia="黑体"/>
          <w:sz w:val="32"/>
        </w:rPr>
        <w:t>第五章  项目安全与防灾减灾要求</w:t>
      </w:r>
      <w:bookmarkEnd w:id="18"/>
    </w:p>
    <w:p w14:paraId="1A5C7B99">
      <w:pPr>
        <w:pStyle w:val="5"/>
        <w:spacing w:before="0" w:after="0" w:line="360" w:lineRule="auto"/>
        <w:rPr>
          <w:rFonts w:ascii="黑体" w:hAnsi="黑体" w:eastAsia="黑体"/>
          <w:sz w:val="30"/>
          <w:szCs w:val="30"/>
        </w:rPr>
      </w:pPr>
      <w:bookmarkStart w:id="19" w:name="_Toc26588"/>
      <w:bookmarkStart w:id="20" w:name="_Toc177049535"/>
      <w:r>
        <w:rPr>
          <w:rFonts w:hint="eastAsia" w:ascii="黑体" w:hAnsi="黑体" w:eastAsia="黑体"/>
          <w:sz w:val="30"/>
          <w:szCs w:val="30"/>
        </w:rPr>
        <w:t>1、防震</w:t>
      </w:r>
      <w:bookmarkEnd w:id="19"/>
      <w:r>
        <w:rPr>
          <w:rFonts w:hint="eastAsia" w:ascii="黑体" w:hAnsi="黑体" w:eastAsia="黑体"/>
          <w:sz w:val="30"/>
          <w:szCs w:val="30"/>
        </w:rPr>
        <w:t>抗震</w:t>
      </w:r>
      <w:bookmarkEnd w:id="20"/>
    </w:p>
    <w:p w14:paraId="37311D74">
      <w:pPr>
        <w:pStyle w:val="15"/>
        <w:spacing w:line="360" w:lineRule="auto"/>
        <w:ind w:firstLine="560" w:firstLineChars="200"/>
        <w:rPr>
          <w:rFonts w:eastAsia="仿宋_GB2312"/>
          <w:color w:val="auto"/>
          <w:sz w:val="28"/>
          <w:szCs w:val="28"/>
        </w:rPr>
      </w:pPr>
      <w:r>
        <w:rPr>
          <w:rFonts w:hint="eastAsia" w:eastAsia="仿宋"/>
          <w:sz w:val="28"/>
          <w:szCs w:val="28"/>
        </w:rPr>
        <w:t>贯彻“预防为主，防、避、救相结合”的防震方针，对不安全的建筑要进行加固或拆迁。村域所有建筑物按6度设防，重要建筑物和生命线工程按7度设防。</w:t>
      </w:r>
    </w:p>
    <w:p w14:paraId="7781FA95">
      <w:pPr>
        <w:pStyle w:val="5"/>
        <w:spacing w:before="0" w:after="0" w:line="360" w:lineRule="auto"/>
        <w:rPr>
          <w:rFonts w:ascii="黑体" w:hAnsi="黑体" w:eastAsia="黑体"/>
          <w:sz w:val="30"/>
          <w:szCs w:val="30"/>
        </w:rPr>
      </w:pPr>
      <w:bookmarkStart w:id="21" w:name="_Toc177049536"/>
      <w:bookmarkStart w:id="22" w:name="_Toc24231"/>
      <w:r>
        <w:rPr>
          <w:rFonts w:hint="eastAsia" w:ascii="黑体" w:hAnsi="黑体" w:eastAsia="黑体"/>
          <w:sz w:val="30"/>
          <w:szCs w:val="30"/>
        </w:rPr>
        <w:t>2、放气象灾害</w:t>
      </w:r>
      <w:bookmarkEnd w:id="21"/>
    </w:p>
    <w:p w14:paraId="154091C3">
      <w:pPr>
        <w:pStyle w:val="15"/>
        <w:spacing w:line="360" w:lineRule="auto"/>
        <w:ind w:firstLine="560" w:firstLineChars="200"/>
        <w:rPr>
          <w:rFonts w:eastAsia="仿宋"/>
          <w:sz w:val="28"/>
          <w:szCs w:val="28"/>
        </w:rPr>
      </w:pPr>
      <w:r>
        <w:rPr>
          <w:rFonts w:hint="eastAsia" w:eastAsia="仿宋"/>
          <w:sz w:val="28"/>
          <w:szCs w:val="28"/>
        </w:rPr>
        <w:t>加强气象灾害预测、预报和预防工作，对村民进行气象灾害相关知识培训。主要居民区域所有建构筑单体，必须按防雷规范进行设计，设置安全的避雷装置。并采取必要的抗风措施。</w:t>
      </w:r>
    </w:p>
    <w:p w14:paraId="33DB7EF1">
      <w:pPr>
        <w:pStyle w:val="5"/>
        <w:spacing w:before="0" w:after="0" w:line="360" w:lineRule="auto"/>
        <w:rPr>
          <w:rFonts w:ascii="黑体" w:hAnsi="黑体" w:eastAsia="黑体"/>
          <w:sz w:val="30"/>
          <w:szCs w:val="30"/>
        </w:rPr>
      </w:pPr>
      <w:bookmarkStart w:id="23" w:name="_Toc177049537"/>
      <w:r>
        <w:rPr>
          <w:rFonts w:hint="eastAsia" w:ascii="黑体" w:hAnsi="黑体" w:eastAsia="黑体"/>
          <w:sz w:val="30"/>
          <w:szCs w:val="30"/>
        </w:rPr>
        <w:t>3、防洪</w:t>
      </w:r>
      <w:bookmarkEnd w:id="22"/>
      <w:bookmarkEnd w:id="23"/>
    </w:p>
    <w:p w14:paraId="047D42A9">
      <w:pPr>
        <w:pStyle w:val="15"/>
        <w:spacing w:line="360" w:lineRule="auto"/>
        <w:ind w:firstLine="560" w:firstLineChars="200"/>
        <w:rPr>
          <w:rFonts w:eastAsia="仿宋_GB2312"/>
          <w:color w:val="auto"/>
          <w:sz w:val="28"/>
          <w:szCs w:val="28"/>
        </w:rPr>
      </w:pPr>
      <w:r>
        <w:rPr>
          <w:rFonts w:hint="eastAsia" w:eastAsia="仿宋"/>
          <w:sz w:val="28"/>
          <w:szCs w:val="28"/>
        </w:rPr>
        <w:t>充分利用山前水塘、洼地滞蓄洪水进行山洪防治，以减轻下游排泄渠道的负担。</w:t>
      </w:r>
      <w:r>
        <w:rPr>
          <w:rFonts w:hint="eastAsia" w:eastAsia="仿宋"/>
          <w:color w:val="auto"/>
          <w:sz w:val="28"/>
          <w:szCs w:val="28"/>
        </w:rPr>
        <w:t>设置救援系统，包括应急疏散点、医疗救护、物资储备和报警装置等。加强防洪沟两侧绿化建设，集中居民区域按照二十年一遇洪水标准设防，规划主要采用截洪渠为排水防洪系统，加强对山洪的防范。</w:t>
      </w:r>
    </w:p>
    <w:p w14:paraId="254C1EA2">
      <w:pPr>
        <w:pStyle w:val="5"/>
        <w:spacing w:before="0" w:after="0" w:line="360" w:lineRule="auto"/>
        <w:rPr>
          <w:rFonts w:ascii="黑体" w:hAnsi="黑体" w:eastAsia="黑体"/>
          <w:sz w:val="30"/>
          <w:szCs w:val="30"/>
        </w:rPr>
      </w:pPr>
      <w:bookmarkStart w:id="24" w:name="_Toc177049538"/>
      <w:bookmarkStart w:id="25" w:name="_Toc19633"/>
      <w:r>
        <w:rPr>
          <w:rFonts w:hint="eastAsia" w:ascii="黑体" w:hAnsi="黑体" w:eastAsia="黑体"/>
          <w:sz w:val="30"/>
          <w:szCs w:val="30"/>
        </w:rPr>
        <w:t>4、防地质灾害</w:t>
      </w:r>
      <w:bookmarkEnd w:id="24"/>
      <w:bookmarkEnd w:id="25"/>
    </w:p>
    <w:p w14:paraId="4BF17F13">
      <w:pPr>
        <w:pStyle w:val="15"/>
        <w:spacing w:line="360" w:lineRule="auto"/>
        <w:ind w:firstLine="560" w:firstLineChars="200"/>
        <w:rPr>
          <w:rFonts w:eastAsia="仿宋_GB2312"/>
          <w:color w:val="auto"/>
          <w:sz w:val="28"/>
          <w:szCs w:val="28"/>
        </w:rPr>
      </w:pPr>
      <w:r>
        <w:rPr>
          <w:rFonts w:hint="eastAsia" w:eastAsia="仿宋"/>
          <w:sz w:val="28"/>
          <w:szCs w:val="28"/>
        </w:rPr>
        <w:t>两项目所在地属低易发区。地质灾害防治应坚持预防为主，避让与治理相结合的原则。工程建设应结合地貌特点，避免“深开挖、高切坡、高填方”，加强生态环境保护工作和防洪工程建设，禁止破坏植被，防止水土流失。项目建设前须进行地质灾害评估和建设点的详细地质勘探，建设活动须以相应的地质勘探资料为依据，应进行地灾处理的项目必须在处理之后，按规定程序报批建设，避免在溶洞、危岩和易发生滑坡地段建设</w:t>
      </w:r>
      <w:r>
        <w:rPr>
          <w:rFonts w:hint="eastAsia" w:eastAsia="仿宋"/>
          <w:color w:val="auto"/>
          <w:sz w:val="28"/>
          <w:szCs w:val="28"/>
        </w:rPr>
        <w:t>。</w:t>
      </w:r>
    </w:p>
    <w:p w14:paraId="4A018E47">
      <w:pPr>
        <w:pStyle w:val="5"/>
        <w:spacing w:before="0" w:after="0" w:line="360" w:lineRule="auto"/>
        <w:rPr>
          <w:rFonts w:ascii="黑体" w:hAnsi="黑体" w:eastAsia="黑体"/>
          <w:sz w:val="30"/>
          <w:szCs w:val="30"/>
        </w:rPr>
      </w:pPr>
      <w:bookmarkStart w:id="26" w:name="_Toc1092"/>
      <w:bookmarkStart w:id="27" w:name="_Toc177049539"/>
      <w:r>
        <w:rPr>
          <w:rFonts w:hint="eastAsia" w:ascii="黑体" w:hAnsi="黑体" w:eastAsia="黑体"/>
          <w:sz w:val="30"/>
          <w:szCs w:val="30"/>
        </w:rPr>
        <w:t>5、消防</w:t>
      </w:r>
      <w:bookmarkEnd w:id="26"/>
      <w:bookmarkEnd w:id="27"/>
    </w:p>
    <w:p w14:paraId="65D1B3F8">
      <w:pPr>
        <w:pStyle w:val="15"/>
        <w:spacing w:line="360" w:lineRule="auto"/>
        <w:ind w:firstLine="560" w:firstLineChars="200"/>
        <w:rPr>
          <w:rFonts w:eastAsia="仿宋"/>
          <w:sz w:val="28"/>
          <w:szCs w:val="28"/>
        </w:rPr>
      </w:pPr>
      <w:r>
        <w:rPr>
          <w:rFonts w:hint="eastAsia" w:eastAsia="仿宋"/>
          <w:sz w:val="28"/>
          <w:szCs w:val="28"/>
        </w:rPr>
        <w:t>消防水源以村供水设施为主，堰塘、水池等地表水为辅。逐步建设现代化的火警报警设施，在现状密集的散居聚集点等公共活动密集区设置室外消防栓或消防水池</w:t>
      </w:r>
      <w:r>
        <w:rPr>
          <w:rFonts w:eastAsia="仿宋"/>
          <w:sz w:val="28"/>
          <w:szCs w:val="28"/>
        </w:rPr>
        <w:t>。</w:t>
      </w:r>
    </w:p>
    <w:p w14:paraId="1FB373F6">
      <w:pPr>
        <w:pStyle w:val="5"/>
        <w:spacing w:before="0" w:after="0" w:line="360" w:lineRule="auto"/>
        <w:rPr>
          <w:rFonts w:ascii="黑体" w:hAnsi="黑体" w:eastAsia="黑体"/>
          <w:sz w:val="30"/>
          <w:szCs w:val="30"/>
        </w:rPr>
      </w:pPr>
      <w:bookmarkStart w:id="28" w:name="_Toc177049540"/>
      <w:r>
        <w:rPr>
          <w:rFonts w:hint="eastAsia" w:ascii="黑体" w:hAnsi="黑体" w:eastAsia="黑体"/>
          <w:sz w:val="30"/>
          <w:szCs w:val="30"/>
        </w:rPr>
        <w:t>6、人防</w:t>
      </w:r>
      <w:bookmarkEnd w:id="28"/>
    </w:p>
    <w:p w14:paraId="3CFDDCCE">
      <w:pPr>
        <w:pStyle w:val="15"/>
        <w:spacing w:line="360" w:lineRule="auto"/>
        <w:ind w:firstLine="560" w:firstLineChars="200"/>
        <w:rPr>
          <w:rFonts w:eastAsia="仿宋"/>
          <w:sz w:val="28"/>
          <w:szCs w:val="28"/>
          <w:lang w:val="en-GB"/>
        </w:rPr>
      </w:pPr>
      <w:r>
        <w:rPr>
          <w:rFonts w:hint="eastAsia" w:eastAsia="仿宋"/>
          <w:sz w:val="28"/>
          <w:szCs w:val="28"/>
          <w:lang w:val="en-GB"/>
        </w:rPr>
        <w:t>按国家规定，结合绿地、广场等开敞空间及村委会等公共建筑作为紧急避难场所。</w:t>
      </w:r>
    </w:p>
    <w:p w14:paraId="4A4542E5">
      <w:pPr>
        <w:pStyle w:val="4"/>
        <w:jc w:val="center"/>
        <w:rPr>
          <w:rFonts w:eastAsia="黑体"/>
          <w:sz w:val="32"/>
        </w:rPr>
      </w:pPr>
      <w:bookmarkStart w:id="29" w:name="_Toc177049541"/>
      <w:r>
        <w:rPr>
          <w:rFonts w:hint="eastAsia" w:eastAsia="黑体"/>
          <w:sz w:val="32"/>
        </w:rPr>
        <w:t>第六章 建筑风貌与地块控制指标</w:t>
      </w:r>
      <w:bookmarkEnd w:id="29"/>
    </w:p>
    <w:p w14:paraId="5BEA73BC">
      <w:pPr>
        <w:pStyle w:val="5"/>
        <w:spacing w:before="0" w:after="0" w:line="360" w:lineRule="auto"/>
        <w:rPr>
          <w:rFonts w:ascii="黑体" w:hAnsi="黑体" w:eastAsia="黑体"/>
          <w:sz w:val="30"/>
          <w:szCs w:val="30"/>
        </w:rPr>
      </w:pPr>
      <w:bookmarkStart w:id="30" w:name="_Toc177049542"/>
      <w:r>
        <w:rPr>
          <w:rFonts w:hint="eastAsia" w:ascii="黑体" w:hAnsi="黑体" w:eastAsia="黑体"/>
          <w:sz w:val="30"/>
          <w:szCs w:val="30"/>
        </w:rPr>
        <w:t>1、建筑风貌</w:t>
      </w:r>
      <w:bookmarkEnd w:id="30"/>
    </w:p>
    <w:p w14:paraId="452FD921">
      <w:pPr>
        <w:pStyle w:val="15"/>
        <w:spacing w:line="360" w:lineRule="auto"/>
        <w:ind w:firstLine="560" w:firstLineChars="200"/>
        <w:rPr>
          <w:rFonts w:eastAsia="仿宋"/>
          <w:color w:val="auto"/>
          <w:sz w:val="28"/>
          <w:szCs w:val="28"/>
        </w:rPr>
      </w:pPr>
      <w:r>
        <w:rPr>
          <w:rFonts w:hint="eastAsia" w:eastAsia="仿宋"/>
          <w:color w:val="auto"/>
          <w:sz w:val="28"/>
          <w:szCs w:val="28"/>
        </w:rPr>
        <w:t>1.1建筑体量</w:t>
      </w:r>
    </w:p>
    <w:p w14:paraId="646EA4CE">
      <w:pPr>
        <w:pStyle w:val="15"/>
        <w:spacing w:line="360" w:lineRule="auto"/>
        <w:ind w:firstLine="560" w:firstLineChars="200"/>
        <w:rPr>
          <w:rFonts w:eastAsia="仿宋"/>
          <w:color w:val="auto"/>
          <w:sz w:val="28"/>
          <w:szCs w:val="28"/>
        </w:rPr>
      </w:pPr>
      <w:r>
        <w:rPr>
          <w:rFonts w:hint="eastAsia" w:eastAsia="仿宋"/>
          <w:color w:val="auto"/>
          <w:sz w:val="28"/>
          <w:szCs w:val="28"/>
        </w:rPr>
        <w:t>建筑层数原则上不超过3层，建筑高度原则上不超过 12米。单体建筑应保持长宽高尺度的良好比例，不应修建体量庞大、横长矮胖、尺度夸张、造型奇特的建筑。</w:t>
      </w:r>
    </w:p>
    <w:p w14:paraId="43670465">
      <w:pPr>
        <w:pStyle w:val="15"/>
        <w:spacing w:line="360" w:lineRule="auto"/>
        <w:ind w:firstLine="560" w:firstLineChars="200"/>
        <w:rPr>
          <w:rFonts w:eastAsia="仿宋"/>
          <w:color w:val="auto"/>
          <w:sz w:val="28"/>
          <w:szCs w:val="28"/>
        </w:rPr>
      </w:pPr>
      <w:r>
        <w:rPr>
          <w:rFonts w:hint="eastAsia" w:eastAsia="仿宋"/>
          <w:color w:val="auto"/>
          <w:sz w:val="28"/>
          <w:szCs w:val="28"/>
        </w:rPr>
        <w:t>1.2屋顶形态</w:t>
      </w:r>
    </w:p>
    <w:p w14:paraId="126AF106">
      <w:pPr>
        <w:pStyle w:val="15"/>
        <w:spacing w:line="360" w:lineRule="auto"/>
        <w:ind w:firstLine="560" w:firstLineChars="200"/>
        <w:rPr>
          <w:rFonts w:eastAsia="仿宋"/>
          <w:color w:val="auto"/>
          <w:sz w:val="28"/>
          <w:szCs w:val="28"/>
        </w:rPr>
      </w:pPr>
      <w:r>
        <w:rPr>
          <w:rFonts w:hint="eastAsia" w:eastAsia="仿宋"/>
          <w:color w:val="auto"/>
          <w:sz w:val="28"/>
          <w:szCs w:val="28"/>
        </w:rPr>
        <w:t>鼓励平坡结合，既解决日常晾晒给功能，又丰富屋面形态；屋面材料以小青瓦、灰色平瓦或压型钢板为主。不得使用高饱和度的彩钢棚或彩钢瓦做顶部搭建。</w:t>
      </w:r>
    </w:p>
    <w:p w14:paraId="424324BE">
      <w:pPr>
        <w:pStyle w:val="15"/>
        <w:spacing w:line="360" w:lineRule="auto"/>
        <w:ind w:firstLine="560" w:firstLineChars="200"/>
        <w:rPr>
          <w:rFonts w:eastAsia="仿宋"/>
          <w:color w:val="auto"/>
          <w:sz w:val="28"/>
          <w:szCs w:val="28"/>
        </w:rPr>
      </w:pPr>
      <w:r>
        <w:rPr>
          <w:rFonts w:hint="eastAsia" w:eastAsia="仿宋"/>
          <w:color w:val="auto"/>
          <w:sz w:val="28"/>
          <w:szCs w:val="28"/>
        </w:rPr>
        <w:t>1.3墙面</w:t>
      </w:r>
    </w:p>
    <w:p w14:paraId="5D431F19">
      <w:pPr>
        <w:pStyle w:val="15"/>
        <w:spacing w:line="360" w:lineRule="auto"/>
        <w:ind w:firstLine="560" w:firstLineChars="200"/>
        <w:rPr>
          <w:rFonts w:eastAsia="仿宋"/>
          <w:color w:val="auto"/>
          <w:sz w:val="28"/>
          <w:szCs w:val="28"/>
        </w:rPr>
      </w:pPr>
      <w:r>
        <w:rPr>
          <w:rFonts w:hint="eastAsia" w:eastAsia="仿宋"/>
          <w:color w:val="auto"/>
          <w:sz w:val="28"/>
          <w:szCs w:val="28"/>
        </w:rPr>
        <w:t>建筑立面应提取、继承地方民居原有构筑方式所反映的尺度比例、屋顶形式、山墙特征、立面肌理、色彩搭配等要素，使之体现地域特色；建筑立面造型及色彩搭配应结合周边环境进行一体化设计，整体风貌与周边环境相互融合；不宜出现裸露的水泥墙面或瓷砖贴面；不得在墙面上粗糙作假地勾勒外墙漆线条，包括建筑结构装饰线、窗套、门套装饰线等；可选择木板墙或青砖墙，搭配石、砖、土等乡土材料。</w:t>
      </w:r>
    </w:p>
    <w:p w14:paraId="027DBDFA">
      <w:pPr>
        <w:pStyle w:val="15"/>
        <w:spacing w:line="360" w:lineRule="auto"/>
        <w:ind w:firstLine="560" w:firstLineChars="200"/>
        <w:rPr>
          <w:rFonts w:eastAsia="仿宋"/>
          <w:color w:val="auto"/>
          <w:sz w:val="28"/>
          <w:szCs w:val="28"/>
        </w:rPr>
      </w:pPr>
      <w:r>
        <w:rPr>
          <w:rFonts w:hint="eastAsia" w:eastAsia="仿宋"/>
          <w:color w:val="auto"/>
          <w:sz w:val="28"/>
          <w:szCs w:val="28"/>
        </w:rPr>
        <w:t>门：门洞设计应考虑使用要求，并与建筑整体立面的比例、尺度协调。窗：在保证整体比例尺度协调的情冴下，造型符合巴渝建筑特征， 根据不同使用功能，可考虑通窗、落地窗、竖条窗等。</w:t>
      </w:r>
    </w:p>
    <w:p w14:paraId="665C88C5">
      <w:pPr>
        <w:pStyle w:val="5"/>
        <w:spacing w:before="0" w:after="0" w:line="360" w:lineRule="auto"/>
        <w:rPr>
          <w:rFonts w:ascii="黑体" w:hAnsi="黑体" w:eastAsia="黑体"/>
          <w:sz w:val="30"/>
          <w:szCs w:val="30"/>
        </w:rPr>
      </w:pPr>
      <w:bookmarkStart w:id="31" w:name="_Toc177049543"/>
      <w:r>
        <w:rPr>
          <w:rFonts w:hint="eastAsia" w:ascii="黑体" w:hAnsi="黑体" w:eastAsia="黑体"/>
          <w:sz w:val="30"/>
          <w:szCs w:val="30"/>
        </w:rPr>
        <w:t>2、地块控制指标</w:t>
      </w:r>
      <w:bookmarkEnd w:id="31"/>
    </w:p>
    <w:p w14:paraId="412C6497">
      <w:pPr>
        <w:pStyle w:val="15"/>
        <w:spacing w:line="360" w:lineRule="auto"/>
        <w:ind w:firstLine="560" w:firstLineChars="200"/>
        <w:rPr>
          <w:rFonts w:eastAsia="仿宋"/>
          <w:sz w:val="28"/>
          <w:szCs w:val="28"/>
        </w:rPr>
      </w:pPr>
      <w:r>
        <w:rPr>
          <w:rFonts w:eastAsia="仿宋"/>
          <w:sz w:val="28"/>
          <w:szCs w:val="28"/>
        </w:rPr>
        <w:t>地块控制指标是土地管理的关键工具，指标包括用地性质、容积率、建筑</w:t>
      </w:r>
      <w:r>
        <w:rPr>
          <w:rFonts w:hint="eastAsia" w:eastAsia="仿宋"/>
          <w:sz w:val="28"/>
          <w:szCs w:val="28"/>
        </w:rPr>
        <w:t>层数</w:t>
      </w:r>
      <w:r>
        <w:rPr>
          <w:rFonts w:eastAsia="仿宋"/>
          <w:sz w:val="28"/>
          <w:szCs w:val="28"/>
        </w:rPr>
        <w:t>、</w:t>
      </w:r>
      <w:r>
        <w:rPr>
          <w:rFonts w:hint="eastAsia" w:eastAsia="仿宋"/>
          <w:sz w:val="28"/>
          <w:szCs w:val="28"/>
        </w:rPr>
        <w:t>建筑</w:t>
      </w:r>
      <w:r>
        <w:rPr>
          <w:rFonts w:eastAsia="仿宋"/>
          <w:sz w:val="28"/>
          <w:szCs w:val="28"/>
        </w:rPr>
        <w:t>高度等，是规范土地市场、保护土地资源的重要依据。</w:t>
      </w:r>
    </w:p>
    <w:p w14:paraId="0528E512">
      <w:pPr>
        <w:pStyle w:val="15"/>
        <w:spacing w:line="360" w:lineRule="auto"/>
        <w:ind w:firstLine="560" w:firstLineChars="200"/>
        <w:rPr>
          <w:rFonts w:eastAsia="仿宋"/>
          <w:sz w:val="28"/>
          <w:szCs w:val="28"/>
        </w:rPr>
      </w:pPr>
      <w:r>
        <w:rPr>
          <w:rFonts w:eastAsia="仿宋"/>
          <w:sz w:val="28"/>
          <w:szCs w:val="28"/>
        </w:rPr>
        <w:t>本次项目式村规划依据《重庆市乡村规划设计导则》，确定建筑层数不超过</w:t>
      </w:r>
      <w:r>
        <w:rPr>
          <w:rFonts w:hint="eastAsia" w:eastAsia="仿宋"/>
          <w:sz w:val="28"/>
          <w:szCs w:val="28"/>
        </w:rPr>
        <w:t>3层，建筑高度原则上不超过12米，确需突破的，需专题论证，农村公共服务设施和产业项目的建筑高度可结合周边环境，在项目方案设计时进行专题研究合理确定。本次项目式村规划项目容积率依据项目用地性质及盘龙镇控制性详细规划确定。详见下表：</w:t>
      </w:r>
    </w:p>
    <w:p w14:paraId="4FC4F8FF">
      <w:pPr>
        <w:pStyle w:val="15"/>
        <w:spacing w:line="360" w:lineRule="auto"/>
        <w:ind w:firstLine="560" w:firstLineChars="200"/>
        <w:jc w:val="center"/>
        <w:rPr>
          <w:rFonts w:eastAsia="仿宋"/>
          <w:sz w:val="28"/>
          <w:szCs w:val="28"/>
        </w:rPr>
      </w:pPr>
      <w:r>
        <w:rPr>
          <w:rFonts w:eastAsia="仿宋"/>
          <w:sz w:val="28"/>
          <w:szCs w:val="28"/>
        </w:rPr>
        <w:t>表</w:t>
      </w:r>
      <w:r>
        <w:rPr>
          <w:rFonts w:hint="eastAsia" w:eastAsia="仿宋"/>
          <w:sz w:val="28"/>
          <w:szCs w:val="28"/>
        </w:rPr>
        <w:t>6-1 地块控制指标表</w:t>
      </w:r>
    </w:p>
    <w:tbl>
      <w:tblPr>
        <w:tblStyle w:val="12"/>
        <w:tblW w:w="5634" w:type="pct"/>
        <w:jc w:val="center"/>
        <w:tblLayout w:type="fixed"/>
        <w:tblCellMar>
          <w:top w:w="0" w:type="dxa"/>
          <w:left w:w="108" w:type="dxa"/>
          <w:bottom w:w="0" w:type="dxa"/>
          <w:right w:w="108" w:type="dxa"/>
        </w:tblCellMar>
      </w:tblPr>
      <w:tblGrid>
        <w:gridCol w:w="797"/>
        <w:gridCol w:w="795"/>
        <w:gridCol w:w="1164"/>
        <w:gridCol w:w="1099"/>
        <w:gridCol w:w="1227"/>
        <w:gridCol w:w="1227"/>
        <w:gridCol w:w="1360"/>
        <w:gridCol w:w="1934"/>
      </w:tblGrid>
      <w:tr w14:paraId="5DFE8CF9">
        <w:tblPrEx>
          <w:tblCellMar>
            <w:top w:w="0" w:type="dxa"/>
            <w:left w:w="108" w:type="dxa"/>
            <w:bottom w:w="0" w:type="dxa"/>
            <w:right w:w="108" w:type="dxa"/>
          </w:tblCellMar>
        </w:tblPrEx>
        <w:trPr>
          <w:trHeight w:val="285" w:hRule="atLeast"/>
          <w:jc w:val="center"/>
        </w:trPr>
        <w:tc>
          <w:tcPr>
            <w:tcW w:w="41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5D20CFC">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地块编号</w:t>
            </w:r>
          </w:p>
        </w:tc>
        <w:tc>
          <w:tcPr>
            <w:tcW w:w="414" w:type="pct"/>
            <w:tcBorders>
              <w:top w:val="single" w:color="auto" w:sz="4" w:space="0"/>
              <w:left w:val="nil"/>
              <w:bottom w:val="single" w:color="auto" w:sz="4" w:space="0"/>
              <w:right w:val="single" w:color="auto" w:sz="4" w:space="0"/>
            </w:tcBorders>
            <w:shd w:val="clear" w:color="auto" w:fill="auto"/>
            <w:noWrap/>
            <w:vAlign w:val="center"/>
          </w:tcPr>
          <w:p w14:paraId="5648E634">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用地性质</w:t>
            </w:r>
          </w:p>
        </w:tc>
        <w:tc>
          <w:tcPr>
            <w:tcW w:w="606" w:type="pct"/>
            <w:tcBorders>
              <w:top w:val="single" w:color="auto" w:sz="4" w:space="0"/>
              <w:left w:val="nil"/>
              <w:bottom w:val="single" w:color="auto" w:sz="4" w:space="0"/>
              <w:right w:val="single" w:color="auto" w:sz="4" w:space="0"/>
            </w:tcBorders>
            <w:shd w:val="clear" w:color="auto" w:fill="auto"/>
            <w:noWrap/>
            <w:vAlign w:val="center"/>
          </w:tcPr>
          <w:p w14:paraId="45B43DBE">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用地面积（公顷）</w:t>
            </w:r>
          </w:p>
        </w:tc>
        <w:tc>
          <w:tcPr>
            <w:tcW w:w="572" w:type="pct"/>
            <w:tcBorders>
              <w:top w:val="single" w:color="auto" w:sz="4" w:space="0"/>
              <w:left w:val="nil"/>
              <w:bottom w:val="single" w:color="auto" w:sz="4" w:space="0"/>
              <w:right w:val="single" w:color="auto" w:sz="4" w:space="0"/>
            </w:tcBorders>
            <w:shd w:val="clear" w:color="auto" w:fill="auto"/>
            <w:noWrap/>
            <w:vAlign w:val="center"/>
          </w:tcPr>
          <w:p w14:paraId="2EB18E99">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容积率</w:t>
            </w:r>
          </w:p>
        </w:tc>
        <w:tc>
          <w:tcPr>
            <w:tcW w:w="639" w:type="pct"/>
            <w:tcBorders>
              <w:top w:val="single" w:color="auto" w:sz="4" w:space="0"/>
              <w:left w:val="nil"/>
              <w:bottom w:val="single" w:color="auto" w:sz="4" w:space="0"/>
              <w:right w:val="single" w:color="auto" w:sz="4" w:space="0"/>
            </w:tcBorders>
            <w:shd w:val="clear" w:color="auto" w:fill="auto"/>
            <w:noWrap/>
            <w:vAlign w:val="center"/>
          </w:tcPr>
          <w:p w14:paraId="6CB83EA0">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建筑层数（层）</w:t>
            </w:r>
          </w:p>
        </w:tc>
        <w:tc>
          <w:tcPr>
            <w:tcW w:w="639" w:type="pct"/>
            <w:tcBorders>
              <w:top w:val="single" w:color="auto" w:sz="4" w:space="0"/>
              <w:left w:val="nil"/>
              <w:bottom w:val="single" w:color="auto" w:sz="4" w:space="0"/>
              <w:right w:val="single" w:color="auto" w:sz="4" w:space="0"/>
            </w:tcBorders>
            <w:shd w:val="clear" w:color="auto" w:fill="auto"/>
            <w:noWrap/>
            <w:vAlign w:val="center"/>
          </w:tcPr>
          <w:p w14:paraId="73475F0E">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建筑高度（米）</w:t>
            </w:r>
          </w:p>
        </w:tc>
        <w:tc>
          <w:tcPr>
            <w:tcW w:w="708" w:type="pct"/>
            <w:tcBorders>
              <w:top w:val="single" w:color="auto" w:sz="4" w:space="0"/>
              <w:left w:val="nil"/>
              <w:bottom w:val="single" w:color="auto" w:sz="4" w:space="0"/>
              <w:right w:val="single" w:color="auto" w:sz="4" w:space="0"/>
            </w:tcBorders>
            <w:shd w:val="clear" w:color="auto" w:fill="auto"/>
            <w:noWrap/>
            <w:vAlign w:val="center"/>
          </w:tcPr>
          <w:p w14:paraId="1416A1B0">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建筑风貌</w:t>
            </w:r>
          </w:p>
        </w:tc>
        <w:tc>
          <w:tcPr>
            <w:tcW w:w="1007" w:type="pct"/>
            <w:tcBorders>
              <w:top w:val="single" w:color="auto" w:sz="4" w:space="0"/>
              <w:left w:val="nil"/>
              <w:bottom w:val="single" w:color="auto" w:sz="4" w:space="0"/>
              <w:right w:val="single" w:color="auto" w:sz="4" w:space="0"/>
            </w:tcBorders>
            <w:shd w:val="clear" w:color="auto" w:fill="auto"/>
            <w:noWrap/>
            <w:vAlign w:val="center"/>
          </w:tcPr>
          <w:p w14:paraId="43458B51">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备注</w:t>
            </w:r>
          </w:p>
        </w:tc>
      </w:tr>
      <w:tr w14:paraId="178C7FE6">
        <w:tblPrEx>
          <w:tblCellMar>
            <w:top w:w="0" w:type="dxa"/>
            <w:left w:w="108" w:type="dxa"/>
            <w:bottom w:w="0" w:type="dxa"/>
            <w:right w:w="108" w:type="dxa"/>
          </w:tblCellMar>
        </w:tblPrEx>
        <w:trPr>
          <w:trHeight w:val="570" w:hRule="atLeast"/>
          <w:jc w:val="center"/>
        </w:trPr>
        <w:tc>
          <w:tcPr>
            <w:tcW w:w="415" w:type="pct"/>
            <w:tcBorders>
              <w:top w:val="nil"/>
              <w:left w:val="single" w:color="auto" w:sz="4" w:space="0"/>
              <w:bottom w:val="single" w:color="auto" w:sz="4" w:space="0"/>
              <w:right w:val="single" w:color="auto" w:sz="4" w:space="0"/>
            </w:tcBorders>
            <w:shd w:val="clear" w:color="auto" w:fill="auto"/>
            <w:noWrap/>
            <w:vAlign w:val="center"/>
          </w:tcPr>
          <w:p w14:paraId="0973118A">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SH-01</w:t>
            </w:r>
          </w:p>
        </w:tc>
        <w:tc>
          <w:tcPr>
            <w:tcW w:w="414" w:type="pct"/>
            <w:tcBorders>
              <w:top w:val="nil"/>
              <w:left w:val="nil"/>
              <w:bottom w:val="single" w:color="auto" w:sz="4" w:space="0"/>
              <w:right w:val="single" w:color="auto" w:sz="4" w:space="0"/>
            </w:tcBorders>
            <w:shd w:val="clear" w:color="auto" w:fill="auto"/>
            <w:noWrap/>
            <w:vAlign w:val="center"/>
          </w:tcPr>
          <w:p w14:paraId="1E748FE2">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工业用地</w:t>
            </w:r>
          </w:p>
        </w:tc>
        <w:tc>
          <w:tcPr>
            <w:tcW w:w="606" w:type="pct"/>
            <w:tcBorders>
              <w:top w:val="nil"/>
              <w:left w:val="nil"/>
              <w:bottom w:val="single" w:color="auto" w:sz="4" w:space="0"/>
              <w:right w:val="single" w:color="auto" w:sz="4" w:space="0"/>
            </w:tcBorders>
            <w:shd w:val="clear" w:color="auto" w:fill="auto"/>
            <w:noWrap/>
            <w:vAlign w:val="center"/>
          </w:tcPr>
          <w:p w14:paraId="78C0A624">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0.31</w:t>
            </w:r>
          </w:p>
        </w:tc>
        <w:tc>
          <w:tcPr>
            <w:tcW w:w="572" w:type="pct"/>
            <w:tcBorders>
              <w:top w:val="nil"/>
              <w:left w:val="nil"/>
              <w:bottom w:val="single" w:color="auto" w:sz="4" w:space="0"/>
              <w:right w:val="single" w:color="auto" w:sz="4" w:space="0"/>
            </w:tcBorders>
            <w:shd w:val="clear" w:color="auto" w:fill="auto"/>
            <w:noWrap/>
            <w:vAlign w:val="center"/>
          </w:tcPr>
          <w:p w14:paraId="11B2B981">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≥1.0</w:t>
            </w:r>
          </w:p>
        </w:tc>
        <w:tc>
          <w:tcPr>
            <w:tcW w:w="639" w:type="pct"/>
            <w:tcBorders>
              <w:top w:val="nil"/>
              <w:left w:val="nil"/>
              <w:bottom w:val="single" w:color="auto" w:sz="4" w:space="0"/>
              <w:right w:val="single" w:color="auto" w:sz="4" w:space="0"/>
            </w:tcBorders>
            <w:shd w:val="clear" w:color="auto" w:fill="auto"/>
            <w:noWrap/>
            <w:vAlign w:val="center"/>
          </w:tcPr>
          <w:p w14:paraId="10833819">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3</w:t>
            </w:r>
          </w:p>
        </w:tc>
        <w:tc>
          <w:tcPr>
            <w:tcW w:w="639" w:type="pct"/>
            <w:tcBorders>
              <w:top w:val="nil"/>
              <w:left w:val="nil"/>
              <w:bottom w:val="single" w:color="auto" w:sz="4" w:space="0"/>
              <w:right w:val="single" w:color="auto" w:sz="4" w:space="0"/>
            </w:tcBorders>
            <w:shd w:val="clear" w:color="auto" w:fill="auto"/>
            <w:noWrap/>
            <w:vAlign w:val="center"/>
          </w:tcPr>
          <w:p w14:paraId="150BCD55">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12</w:t>
            </w:r>
          </w:p>
        </w:tc>
        <w:tc>
          <w:tcPr>
            <w:tcW w:w="708" w:type="pct"/>
            <w:tcBorders>
              <w:top w:val="nil"/>
              <w:left w:val="nil"/>
              <w:bottom w:val="single" w:color="auto" w:sz="4" w:space="0"/>
              <w:right w:val="single" w:color="auto" w:sz="4" w:space="0"/>
            </w:tcBorders>
            <w:shd w:val="clear" w:color="auto" w:fill="auto"/>
            <w:noWrap/>
            <w:vAlign w:val="center"/>
          </w:tcPr>
          <w:p w14:paraId="00D0FCD7">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以本地域民居建筑风格为宜</w:t>
            </w:r>
          </w:p>
        </w:tc>
        <w:tc>
          <w:tcPr>
            <w:tcW w:w="1007" w:type="pct"/>
            <w:tcBorders>
              <w:top w:val="nil"/>
              <w:left w:val="nil"/>
              <w:bottom w:val="single" w:color="auto" w:sz="4" w:space="0"/>
              <w:right w:val="single" w:color="auto" w:sz="4" w:space="0"/>
            </w:tcBorders>
            <w:shd w:val="clear" w:color="auto" w:fill="auto"/>
            <w:vAlign w:val="center"/>
          </w:tcPr>
          <w:p w14:paraId="6C80781A">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盘龙镇三合村渔业加工厂房及设备建设项目</w:t>
            </w:r>
          </w:p>
        </w:tc>
      </w:tr>
      <w:tr w14:paraId="3CA1CF0B">
        <w:tblPrEx>
          <w:tblCellMar>
            <w:top w:w="0" w:type="dxa"/>
            <w:left w:w="108" w:type="dxa"/>
            <w:bottom w:w="0" w:type="dxa"/>
            <w:right w:w="108" w:type="dxa"/>
          </w:tblCellMar>
        </w:tblPrEx>
        <w:trPr>
          <w:trHeight w:val="570" w:hRule="atLeast"/>
          <w:jc w:val="center"/>
        </w:trPr>
        <w:tc>
          <w:tcPr>
            <w:tcW w:w="415" w:type="pct"/>
            <w:tcBorders>
              <w:top w:val="nil"/>
              <w:left w:val="single" w:color="auto" w:sz="4" w:space="0"/>
              <w:bottom w:val="single" w:color="auto" w:sz="4" w:space="0"/>
              <w:right w:val="single" w:color="auto" w:sz="4" w:space="0"/>
            </w:tcBorders>
            <w:shd w:val="clear" w:color="auto" w:fill="auto"/>
            <w:noWrap/>
            <w:vAlign w:val="center"/>
          </w:tcPr>
          <w:p w14:paraId="04136291">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SH-02</w:t>
            </w:r>
          </w:p>
        </w:tc>
        <w:tc>
          <w:tcPr>
            <w:tcW w:w="414" w:type="pct"/>
            <w:tcBorders>
              <w:top w:val="nil"/>
              <w:left w:val="nil"/>
              <w:bottom w:val="single" w:color="auto" w:sz="4" w:space="0"/>
              <w:right w:val="single" w:color="auto" w:sz="4" w:space="0"/>
            </w:tcBorders>
            <w:shd w:val="clear" w:color="auto" w:fill="auto"/>
            <w:noWrap/>
            <w:vAlign w:val="center"/>
          </w:tcPr>
          <w:p w14:paraId="76B8F724">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供水用地</w:t>
            </w:r>
          </w:p>
        </w:tc>
        <w:tc>
          <w:tcPr>
            <w:tcW w:w="606" w:type="pct"/>
            <w:tcBorders>
              <w:top w:val="nil"/>
              <w:left w:val="nil"/>
              <w:bottom w:val="single" w:color="auto" w:sz="4" w:space="0"/>
              <w:right w:val="single" w:color="auto" w:sz="4" w:space="0"/>
            </w:tcBorders>
            <w:shd w:val="clear" w:color="auto" w:fill="auto"/>
            <w:noWrap/>
            <w:vAlign w:val="center"/>
          </w:tcPr>
          <w:p w14:paraId="30EE0F33">
            <w:pPr>
              <w:widowControl/>
              <w:jc w:val="center"/>
              <w:rPr>
                <w:rFonts w:hint="default" w:ascii="Times New Roman" w:hAnsi="Times New Roman" w:eastAsia="仿宋" w:cs="Times New Roman"/>
                <w:color w:val="000000"/>
                <w:kern w:val="0"/>
                <w:szCs w:val="21"/>
                <w:lang w:val="en-US" w:eastAsia="zh-CN"/>
              </w:rPr>
            </w:pPr>
            <w:r>
              <w:rPr>
                <w:rFonts w:ascii="Times New Roman" w:hAnsi="Times New Roman" w:eastAsia="仿宋" w:cs="Times New Roman"/>
                <w:color w:val="000000"/>
                <w:kern w:val="0"/>
                <w:szCs w:val="21"/>
              </w:rPr>
              <w:t>0.</w:t>
            </w:r>
            <w:r>
              <w:rPr>
                <w:rFonts w:hint="eastAsia" w:ascii="Times New Roman" w:hAnsi="Times New Roman" w:eastAsia="仿宋" w:cs="Times New Roman"/>
                <w:color w:val="000000"/>
                <w:kern w:val="0"/>
                <w:szCs w:val="21"/>
                <w:lang w:val="en-US" w:eastAsia="zh-CN"/>
              </w:rPr>
              <w:t>73</w:t>
            </w:r>
            <w:bookmarkStart w:id="32" w:name="_GoBack"/>
            <w:bookmarkEnd w:id="32"/>
          </w:p>
        </w:tc>
        <w:tc>
          <w:tcPr>
            <w:tcW w:w="572" w:type="pct"/>
            <w:tcBorders>
              <w:top w:val="nil"/>
              <w:left w:val="nil"/>
              <w:bottom w:val="single" w:color="auto" w:sz="4" w:space="0"/>
              <w:right w:val="single" w:color="auto" w:sz="4" w:space="0"/>
            </w:tcBorders>
            <w:shd w:val="clear" w:color="auto" w:fill="auto"/>
            <w:noWrap/>
            <w:vAlign w:val="center"/>
          </w:tcPr>
          <w:p w14:paraId="37C9D964">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≤0.6</w:t>
            </w:r>
          </w:p>
        </w:tc>
        <w:tc>
          <w:tcPr>
            <w:tcW w:w="639" w:type="pct"/>
            <w:tcBorders>
              <w:top w:val="nil"/>
              <w:left w:val="nil"/>
              <w:bottom w:val="single" w:color="auto" w:sz="4" w:space="0"/>
              <w:right w:val="single" w:color="auto" w:sz="4" w:space="0"/>
            </w:tcBorders>
            <w:shd w:val="clear" w:color="auto" w:fill="auto"/>
            <w:noWrap/>
            <w:vAlign w:val="center"/>
          </w:tcPr>
          <w:p w14:paraId="55A59E34">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3</w:t>
            </w:r>
          </w:p>
        </w:tc>
        <w:tc>
          <w:tcPr>
            <w:tcW w:w="639" w:type="pct"/>
            <w:tcBorders>
              <w:top w:val="nil"/>
              <w:left w:val="nil"/>
              <w:bottom w:val="single" w:color="auto" w:sz="4" w:space="0"/>
              <w:right w:val="single" w:color="auto" w:sz="4" w:space="0"/>
            </w:tcBorders>
            <w:shd w:val="clear" w:color="auto" w:fill="auto"/>
            <w:noWrap/>
            <w:vAlign w:val="center"/>
          </w:tcPr>
          <w:p w14:paraId="4DB318AA">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12</w:t>
            </w:r>
          </w:p>
        </w:tc>
        <w:tc>
          <w:tcPr>
            <w:tcW w:w="708" w:type="pct"/>
            <w:tcBorders>
              <w:top w:val="nil"/>
              <w:left w:val="nil"/>
              <w:bottom w:val="single" w:color="auto" w:sz="4" w:space="0"/>
              <w:right w:val="single" w:color="auto" w:sz="4" w:space="0"/>
            </w:tcBorders>
            <w:shd w:val="clear" w:color="auto" w:fill="auto"/>
            <w:noWrap/>
            <w:vAlign w:val="center"/>
          </w:tcPr>
          <w:p w14:paraId="6AC6218C">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以本地域民居建筑风格为宜</w:t>
            </w:r>
          </w:p>
        </w:tc>
        <w:tc>
          <w:tcPr>
            <w:tcW w:w="1007" w:type="pct"/>
            <w:tcBorders>
              <w:top w:val="nil"/>
              <w:left w:val="nil"/>
              <w:bottom w:val="single" w:color="auto" w:sz="4" w:space="0"/>
              <w:right w:val="single" w:color="auto" w:sz="4" w:space="0"/>
            </w:tcBorders>
            <w:shd w:val="clear" w:color="auto" w:fill="auto"/>
            <w:vAlign w:val="center"/>
          </w:tcPr>
          <w:p w14:paraId="4E01F85C">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重庆市荣昌区盘龙镇农村饮水安全稳固提升工程项目</w:t>
            </w:r>
          </w:p>
        </w:tc>
      </w:tr>
    </w:tbl>
    <w:p w14:paraId="3E74BC4E"/>
    <w:p w14:paraId="7FD71025">
      <w:pPr>
        <w:jc w:val="center"/>
      </w:pPr>
    </w:p>
    <w:p w14:paraId="4DE559CE">
      <w:pPr>
        <w:jc w:val="center"/>
      </w:pPr>
    </w:p>
    <w:sectPr>
      <w:headerReference r:id="rId6" w:type="default"/>
      <w:footerReference r:id="rId7"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汉仪综艺体简">
    <w:altName w:val="宋体"/>
    <w:panose1 w:val="02010609000101010101"/>
    <w:charset w:val="86"/>
    <w:family w:val="modern"/>
    <w:pitch w:val="default"/>
    <w:sig w:usb0="00000000" w:usb1="00000000" w:usb2="00000012" w:usb3="00000000" w:csb0="00040000" w:csb1="00000000"/>
  </w:font>
  <w:font w:name="方正仿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FE8A64">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95690989"/>
      <w:docPartObj>
        <w:docPartGallery w:val="autotext"/>
      </w:docPartObj>
    </w:sdtPr>
    <w:sdtContent>
      <w:p w14:paraId="7F68BC8A">
        <w:pPr>
          <w:pStyle w:val="7"/>
          <w:jc w:val="center"/>
        </w:pPr>
        <w:r>
          <w:fldChar w:fldCharType="begin"/>
        </w:r>
        <w:r>
          <w:instrText xml:space="preserve">PAGE   \* MERGEFORMAT</w:instrText>
        </w:r>
        <w:r>
          <w:fldChar w:fldCharType="separate"/>
        </w:r>
        <w:r>
          <w:rPr>
            <w:lang w:val="zh-CN"/>
          </w:rPr>
          <w:t>1</w:t>
        </w:r>
        <w:r>
          <w:fldChar w:fldCharType="end"/>
        </w:r>
      </w:p>
    </w:sdtContent>
  </w:sdt>
  <w:p w14:paraId="35E07802">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B2038">
    <w:pPr>
      <w:pStyle w:val="8"/>
      <w:pBdr>
        <w:bottom w:val="none" w:color="auto" w:sz="0" w:space="0"/>
      </w:pBdr>
    </w:pPr>
    <w:r>
      <w:rPr>
        <w:rFonts w:hint="eastAsia"/>
      </w:rPr>
      <w:drawing>
        <wp:anchor distT="0" distB="0" distL="114300" distR="114300" simplePos="0" relativeHeight="251659264" behindDoc="0" locked="0" layoutInCell="1" allowOverlap="1">
          <wp:simplePos x="0" y="0"/>
          <wp:positionH relativeFrom="column">
            <wp:posOffset>-1154430</wp:posOffset>
          </wp:positionH>
          <wp:positionV relativeFrom="page">
            <wp:posOffset>0</wp:posOffset>
          </wp:positionV>
          <wp:extent cx="7599680" cy="3664585"/>
          <wp:effectExtent l="0" t="0" r="1270" b="0"/>
          <wp:wrapNone/>
          <wp:docPr id="2" name="图片 2" descr="e944133e858d9c004d09e47af0a3f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944133e858d9c004d09e47af0a3f075"/>
                  <pic:cNvPicPr>
                    <a:picLocks noChangeAspect="1"/>
                  </pic:cNvPicPr>
                </pic:nvPicPr>
                <pic:blipFill>
                  <a:blip r:embed="rId1"/>
                  <a:srcRect t="27143"/>
                  <a:stretch>
                    <a:fillRect/>
                  </a:stretch>
                </pic:blipFill>
                <pic:spPr>
                  <a:xfrm flipH="1" flipV="1">
                    <a:off x="0" y="0"/>
                    <a:ext cx="7599680" cy="366458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3F86D">
    <w:pPr>
      <w:pStyle w:val="8"/>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22542">
    <w:pPr>
      <w:pStyle w:val="8"/>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ljNGFiZGQ4MWFhNTMzZTE2OTg5MTQ2Njg2OWEyYzgifQ=="/>
  </w:docVars>
  <w:rsids>
    <w:rsidRoot w:val="14AE56FF"/>
    <w:rsid w:val="0000689A"/>
    <w:rsid w:val="00092E68"/>
    <w:rsid w:val="00100728"/>
    <w:rsid w:val="00141794"/>
    <w:rsid w:val="001755E2"/>
    <w:rsid w:val="00186B02"/>
    <w:rsid w:val="001D607E"/>
    <w:rsid w:val="00214E90"/>
    <w:rsid w:val="002625EC"/>
    <w:rsid w:val="00263174"/>
    <w:rsid w:val="002740CF"/>
    <w:rsid w:val="0036519D"/>
    <w:rsid w:val="003F2D6A"/>
    <w:rsid w:val="00406CB9"/>
    <w:rsid w:val="00421881"/>
    <w:rsid w:val="00472BB5"/>
    <w:rsid w:val="004849BE"/>
    <w:rsid w:val="004D29FF"/>
    <w:rsid w:val="004E72E1"/>
    <w:rsid w:val="005362B8"/>
    <w:rsid w:val="005503AE"/>
    <w:rsid w:val="0055597C"/>
    <w:rsid w:val="005903C4"/>
    <w:rsid w:val="005F7396"/>
    <w:rsid w:val="00671005"/>
    <w:rsid w:val="00683128"/>
    <w:rsid w:val="006D426C"/>
    <w:rsid w:val="00713DB7"/>
    <w:rsid w:val="007B3DCB"/>
    <w:rsid w:val="007E4DDF"/>
    <w:rsid w:val="00805329"/>
    <w:rsid w:val="00806E92"/>
    <w:rsid w:val="0085358F"/>
    <w:rsid w:val="008719E6"/>
    <w:rsid w:val="00875C1C"/>
    <w:rsid w:val="00890476"/>
    <w:rsid w:val="0089120D"/>
    <w:rsid w:val="008F515F"/>
    <w:rsid w:val="00912DAE"/>
    <w:rsid w:val="00946861"/>
    <w:rsid w:val="009B4784"/>
    <w:rsid w:val="009C7D30"/>
    <w:rsid w:val="00A36502"/>
    <w:rsid w:val="00AA090D"/>
    <w:rsid w:val="00AD0B93"/>
    <w:rsid w:val="00B25C08"/>
    <w:rsid w:val="00B307C3"/>
    <w:rsid w:val="00B50433"/>
    <w:rsid w:val="00BE220E"/>
    <w:rsid w:val="00C46EA0"/>
    <w:rsid w:val="00C84873"/>
    <w:rsid w:val="00D35930"/>
    <w:rsid w:val="00DA0FA4"/>
    <w:rsid w:val="00DC5942"/>
    <w:rsid w:val="00E36C67"/>
    <w:rsid w:val="00E557A5"/>
    <w:rsid w:val="00EC2A7A"/>
    <w:rsid w:val="00EC51AF"/>
    <w:rsid w:val="00EC59B1"/>
    <w:rsid w:val="00EE2D47"/>
    <w:rsid w:val="00EE7E0B"/>
    <w:rsid w:val="00F06DFE"/>
    <w:rsid w:val="00F127C6"/>
    <w:rsid w:val="00FF3E73"/>
    <w:rsid w:val="04F03CAF"/>
    <w:rsid w:val="14AE56FF"/>
    <w:rsid w:val="156E526E"/>
    <w:rsid w:val="1F707D5C"/>
    <w:rsid w:val="295A68E2"/>
    <w:rsid w:val="327E4842"/>
    <w:rsid w:val="3D0938CC"/>
    <w:rsid w:val="44A67954"/>
    <w:rsid w:val="4B910F8B"/>
    <w:rsid w:val="51055D87"/>
    <w:rsid w:val="5FD65B60"/>
    <w:rsid w:val="613852C8"/>
    <w:rsid w:val="674221B8"/>
    <w:rsid w:val="764A4C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qFormat/>
    <w:uiPriority w:val="9"/>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5">
    <w:name w:val="heading 2"/>
    <w:basedOn w:val="1"/>
    <w:next w:val="1"/>
    <w:qFormat/>
    <w:uiPriority w:val="9"/>
    <w:pPr>
      <w:keepNext/>
      <w:keepLines/>
      <w:spacing w:before="260" w:after="260" w:line="416" w:lineRule="auto"/>
      <w:outlineLvl w:val="1"/>
    </w:pPr>
    <w:rPr>
      <w:rFonts w:ascii="Cambria" w:hAnsi="Cambria" w:eastAsia="宋体" w:cs="Times New Roman"/>
      <w:b/>
      <w:bCs/>
      <w:sz w:val="32"/>
      <w:szCs w:val="32"/>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tabs>
        <w:tab w:val="left" w:pos="6663"/>
      </w:tabs>
      <w:spacing w:after="0"/>
      <w:ind w:left="200" w:firstLine="536"/>
      <w:jc w:val="center"/>
    </w:pPr>
    <w:rPr>
      <w:rFonts w:ascii="Times New Roman" w:hAnsi="Times New Roman"/>
      <w:spacing w:val="14"/>
      <w:szCs w:val="24"/>
    </w:rPr>
  </w:style>
  <w:style w:type="paragraph" w:styleId="3">
    <w:name w:val="Body Text Indent"/>
    <w:basedOn w:val="1"/>
    <w:qFormat/>
    <w:uiPriority w:val="0"/>
    <w:pPr>
      <w:spacing w:after="120"/>
      <w:ind w:left="420" w:leftChars="200"/>
    </w:pPr>
  </w:style>
  <w:style w:type="paragraph" w:styleId="6">
    <w:name w:val="Balloon Text"/>
    <w:basedOn w:val="1"/>
    <w:link w:val="18"/>
    <w:qFormat/>
    <w:uiPriority w:val="0"/>
    <w:rPr>
      <w:sz w:val="18"/>
      <w:szCs w:val="18"/>
    </w:rPr>
  </w:style>
  <w:style w:type="paragraph" w:styleId="7">
    <w:name w:val="footer"/>
    <w:basedOn w:val="1"/>
    <w:link w:val="16"/>
    <w:unhideWhenUsed/>
    <w:qFormat/>
    <w:uiPriority w:val="99"/>
    <w:pPr>
      <w:tabs>
        <w:tab w:val="center" w:pos="4153"/>
        <w:tab w:val="right" w:pos="8306"/>
      </w:tabs>
      <w:snapToGrid w:val="0"/>
      <w:jc w:val="left"/>
    </w:pPr>
    <w:rPr>
      <w:sz w:val="18"/>
      <w:szCs w:val="18"/>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qFormat/>
    <w:uiPriority w:val="39"/>
  </w:style>
  <w:style w:type="paragraph" w:styleId="10">
    <w:name w:val="toc 2"/>
    <w:basedOn w:val="1"/>
    <w:next w:val="1"/>
    <w:autoRedefine/>
    <w:qFormat/>
    <w:uiPriority w:val="39"/>
    <w:pPr>
      <w:ind w:left="420" w:leftChars="200"/>
    </w:pPr>
  </w:style>
  <w:style w:type="paragraph" w:styleId="11">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4">
    <w:name w:val="Hyperlink"/>
    <w:basedOn w:val="13"/>
    <w:unhideWhenUsed/>
    <w:qFormat/>
    <w:uiPriority w:val="99"/>
    <w:rPr>
      <w:color w:val="0026E5" w:themeColor="hyperlink"/>
      <w:u w:val="single"/>
      <w14:textFill>
        <w14:solidFill>
          <w14:schemeClr w14:val="hlink"/>
        </w14:solidFill>
      </w14:textFill>
    </w:rPr>
  </w:style>
  <w:style w:type="paragraph" w:customStyle="1" w:styleId="15">
    <w:name w:val="Default"/>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16">
    <w:name w:val="页脚 Char"/>
    <w:basedOn w:val="13"/>
    <w:link w:val="7"/>
    <w:uiPriority w:val="99"/>
    <w:rPr>
      <w:rFonts w:asciiTheme="minorHAnsi" w:hAnsiTheme="minorHAnsi" w:eastAsiaTheme="minorEastAsia" w:cstheme="minorBidi"/>
      <w:kern w:val="2"/>
      <w:sz w:val="18"/>
      <w:szCs w:val="18"/>
    </w:rPr>
  </w:style>
  <w:style w:type="paragraph" w:customStyle="1" w:styleId="17">
    <w:name w:val="TOC Heading"/>
    <w:basedOn w:val="4"/>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2E54A1" w:themeColor="accent1" w:themeShade="BF"/>
      <w:kern w:val="0"/>
      <w:sz w:val="28"/>
      <w:szCs w:val="28"/>
    </w:rPr>
  </w:style>
  <w:style w:type="character" w:customStyle="1" w:styleId="18">
    <w:name w:val="批注框文本 Char"/>
    <w:basedOn w:val="13"/>
    <w:link w:val="6"/>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image" Target="media/image3.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2872E22-DFF3-4D6B-9FE5-2F70BE9531D0}">
  <ds:schemaRefs/>
</ds:datastoreItem>
</file>

<file path=docProps/app.xml><?xml version="1.0" encoding="utf-8"?>
<Properties xmlns="http://schemas.openxmlformats.org/officeDocument/2006/extended-properties" xmlns:vt="http://schemas.openxmlformats.org/officeDocument/2006/docPropsVTypes">
  <Template>Normal.dotm</Template>
  <Pages>14</Pages>
  <Words>4653</Words>
  <Characters>5087</Characters>
  <Lines>50</Lines>
  <Paragraphs>14</Paragraphs>
  <TotalTime>905</TotalTime>
  <ScaleCrop>false</ScaleCrop>
  <LinksUpToDate>false</LinksUpToDate>
  <CharactersWithSpaces>5360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2024-08-21T02:55:00Z</dcterms:created>
  <dc:creator>д</dc:creator>
  <cp:lastModifiedBy>д</cp:lastModifiedBy>
  <cp:lastPrinted>2024-10-11T01:54:00Z</cp:lastPrinted>
  <dcterms:modified xsi:type="dcterms:W3CDTF">2025-03-03T03:11:12Z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00F9B387E73D4E5B91853A167BB1B7D1_11</vt:lpwstr>
  </property>
  <property fmtid="{D5CDD505-2E9C-101B-9397-08002B2CF9AE}" pid="4" name="KSOTemplateDocerSaveRecord">
    <vt:lpwstr>eyJoZGlkIjoiYjljNGFiZGQ4MWFhNTMzZTE2OTg5MTQ2Njg2OWEyYzgiLCJ1c2VySWQiOiI5ODczNTY1MTEifQ==</vt:lpwstr>
  </property>
</Properties>
</file>